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EE40" w14:textId="77777777" w:rsidR="00BA5262" w:rsidRPr="00896E28" w:rsidRDefault="00BA5262" w:rsidP="000E01E9">
      <w:pPr>
        <w:pStyle w:val="Default"/>
        <w:spacing w:before="120" w:after="36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896E28">
        <w:rPr>
          <w:rFonts w:asciiTheme="majorHAnsi" w:hAnsiTheme="majorHAnsi"/>
          <w:b/>
          <w:bCs/>
          <w:i/>
          <w:iCs/>
          <w:sz w:val="28"/>
          <w:szCs w:val="28"/>
        </w:rPr>
        <w:t>GUÍA PARA</w:t>
      </w:r>
      <w:r w:rsidR="00896E28">
        <w:rPr>
          <w:rFonts w:asciiTheme="majorHAnsi" w:hAnsiTheme="majorHAnsi"/>
          <w:b/>
          <w:bCs/>
          <w:i/>
          <w:iCs/>
          <w:sz w:val="28"/>
          <w:szCs w:val="28"/>
        </w:rPr>
        <w:t xml:space="preserve"> ELABORAR</w:t>
      </w:r>
      <w:r w:rsidRPr="00896E28">
        <w:rPr>
          <w:rFonts w:asciiTheme="majorHAnsi" w:hAnsiTheme="majorHAnsi"/>
          <w:b/>
          <w:bCs/>
          <w:i/>
          <w:iCs/>
          <w:sz w:val="28"/>
          <w:szCs w:val="28"/>
        </w:rPr>
        <w:t xml:space="preserve"> EL INFORME </w:t>
      </w:r>
      <w:r w:rsidR="00F224BB">
        <w:rPr>
          <w:rFonts w:asciiTheme="majorHAnsi" w:hAnsiTheme="majorHAnsi"/>
          <w:b/>
          <w:bCs/>
          <w:i/>
          <w:iCs/>
          <w:sz w:val="28"/>
          <w:szCs w:val="28"/>
        </w:rPr>
        <w:t xml:space="preserve">INDEPENDIENTE </w:t>
      </w:r>
      <w:r w:rsidRPr="00896E28">
        <w:rPr>
          <w:rFonts w:asciiTheme="majorHAnsi" w:hAnsiTheme="majorHAnsi"/>
          <w:b/>
          <w:bCs/>
          <w:i/>
          <w:iCs/>
          <w:sz w:val="28"/>
          <w:szCs w:val="28"/>
        </w:rPr>
        <w:t>DE</w:t>
      </w:r>
      <w:r w:rsidR="00896E28" w:rsidRPr="00896E28">
        <w:rPr>
          <w:rFonts w:asciiTheme="majorHAnsi" w:hAnsiTheme="majorHAnsi"/>
          <w:b/>
          <w:bCs/>
          <w:i/>
          <w:iCs/>
          <w:sz w:val="28"/>
          <w:szCs w:val="28"/>
        </w:rPr>
        <w:t xml:space="preserve"> LA SUFICIENCIA DE </w:t>
      </w:r>
      <w:r w:rsidRPr="00896E28">
        <w:rPr>
          <w:rFonts w:asciiTheme="majorHAnsi" w:hAnsiTheme="majorHAnsi"/>
          <w:b/>
          <w:bCs/>
          <w:i/>
          <w:iCs/>
          <w:sz w:val="28"/>
          <w:szCs w:val="28"/>
        </w:rPr>
        <w:t>LAS PROVISIONES TÉCNICAS</w:t>
      </w:r>
    </w:p>
    <w:p w14:paraId="7A1ABBD8" w14:textId="77777777" w:rsidR="00896E28" w:rsidRPr="00ED288C" w:rsidRDefault="005F1C9E" w:rsidP="000E01E9">
      <w:pPr>
        <w:pStyle w:val="Default"/>
        <w:spacing w:before="120" w:after="120" w:line="276" w:lineRule="auto"/>
        <w:jc w:val="both"/>
        <w:rPr>
          <w:rFonts w:asciiTheme="majorHAnsi" w:eastAsiaTheme="majorEastAsia" w:hAnsiTheme="majorHAnsi" w:cstheme="majorBidi"/>
          <w:color w:val="auto"/>
          <w:sz w:val="28"/>
          <w:szCs w:val="26"/>
        </w:rPr>
      </w:pPr>
      <w:r>
        <w:rPr>
          <w:rFonts w:asciiTheme="majorHAnsi" w:eastAsiaTheme="majorEastAsia" w:hAnsiTheme="majorHAnsi" w:cstheme="majorBidi"/>
          <w:color w:val="auto"/>
          <w:sz w:val="28"/>
          <w:szCs w:val="26"/>
        </w:rPr>
        <w:t>Esta guía es aplicable a</w:t>
      </w:r>
      <w:r w:rsidRPr="00ED288C">
        <w:rPr>
          <w:rFonts w:asciiTheme="majorHAnsi" w:eastAsiaTheme="majorEastAsia" w:hAnsiTheme="majorHAnsi" w:cstheme="majorBidi"/>
          <w:color w:val="auto"/>
          <w:sz w:val="28"/>
          <w:szCs w:val="26"/>
        </w:rPr>
        <w:t>l informe sobre la suficiencia de las provisiones técnicas</w:t>
      </w:r>
      <w:r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 requerido mediante </w:t>
      </w:r>
      <w:r w:rsidRPr="00ED288C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artículo 21 del Reglamento sobre la Solvencia para las Entidades de Seguros y Reaseguros. </w:t>
      </w:r>
      <w:r w:rsidR="00F037FF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De esta manera se </w:t>
      </w:r>
      <w:r w:rsidR="00CD7777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entrega </w:t>
      </w:r>
      <w:r w:rsidR="00F037FF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a las </w:t>
      </w:r>
      <w:r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entidades aseguradoras </w:t>
      </w:r>
      <w:r w:rsidR="00F037FF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la expectativa mínima de revelación de información que la Superintendencia </w:t>
      </w:r>
      <w:r>
        <w:rPr>
          <w:rFonts w:asciiTheme="majorHAnsi" w:eastAsiaTheme="majorEastAsia" w:hAnsiTheme="majorHAnsi" w:cstheme="majorBidi"/>
          <w:color w:val="auto"/>
          <w:sz w:val="28"/>
          <w:szCs w:val="26"/>
        </w:rPr>
        <w:t>espera recibir</w:t>
      </w:r>
      <w:r w:rsidR="00F037FF">
        <w:rPr>
          <w:rFonts w:asciiTheme="majorHAnsi" w:eastAsiaTheme="majorEastAsia" w:hAnsiTheme="majorHAnsi" w:cstheme="majorBidi"/>
          <w:color w:val="auto"/>
          <w:sz w:val="28"/>
          <w:szCs w:val="26"/>
        </w:rPr>
        <w:t xml:space="preserve"> mediante el informe de cita.</w:t>
      </w:r>
    </w:p>
    <w:p w14:paraId="55769EAE" w14:textId="6649640A" w:rsidR="00EC0B55" w:rsidRPr="00896E28" w:rsidRDefault="00EC0B55" w:rsidP="000E01E9">
      <w:pPr>
        <w:pStyle w:val="Ttulo1"/>
      </w:pPr>
      <w:r>
        <w:t xml:space="preserve">Del </w:t>
      </w:r>
      <w:r w:rsidRPr="00794FAA">
        <w:t>alcance</w:t>
      </w:r>
    </w:p>
    <w:p w14:paraId="5022D4A2" w14:textId="77777777" w:rsidR="00F037FF" w:rsidRDefault="00EC0B55" w:rsidP="000E01E9">
      <w:pPr>
        <w:pStyle w:val="Ttulo2"/>
        <w:numPr>
          <w:ilvl w:val="0"/>
          <w:numId w:val="5"/>
        </w:numPr>
        <w:spacing w:before="120" w:after="120" w:line="276" w:lineRule="auto"/>
      </w:pPr>
      <w:r w:rsidRPr="00086BE0">
        <w:rPr>
          <w:b/>
          <w:i/>
        </w:rPr>
        <w:t>Alcance</w:t>
      </w:r>
      <w:r w:rsidRPr="00EC0B55">
        <w:rPr>
          <w:b/>
          <w:i/>
        </w:rPr>
        <w:t>.</w:t>
      </w:r>
      <w:r>
        <w:t xml:space="preserve"> La presente guía </w:t>
      </w:r>
      <w:r w:rsidR="00F037FF">
        <w:t xml:space="preserve">define contenidos </w:t>
      </w:r>
      <w:r w:rsidR="006614CF">
        <w:t xml:space="preserve">mínimos </w:t>
      </w:r>
      <w:r w:rsidR="00F037FF">
        <w:t xml:space="preserve">de revelación </w:t>
      </w:r>
      <w:r w:rsidR="006614CF">
        <w:t xml:space="preserve">que </w:t>
      </w:r>
      <w:r w:rsidR="00F037FF">
        <w:t xml:space="preserve">la Superintendencia considera necesarios para que el </w:t>
      </w:r>
      <w:r>
        <w:t xml:space="preserve">informe </w:t>
      </w:r>
      <w:r w:rsidR="00F037FF">
        <w:t xml:space="preserve">sea útil para </w:t>
      </w:r>
      <w:r w:rsidR="0014572C">
        <w:t>la</w:t>
      </w:r>
      <w:r w:rsidR="00F037FF">
        <w:t xml:space="preserve"> gestión del riesgo de las entidades aseguradoras.</w:t>
      </w:r>
    </w:p>
    <w:p w14:paraId="48B9268A" w14:textId="38B60D03" w:rsidR="0014572C" w:rsidRDefault="006C1F9B" w:rsidP="000E01E9">
      <w:pPr>
        <w:pStyle w:val="Ttulo2"/>
        <w:spacing w:before="120" w:after="120" w:line="276" w:lineRule="auto"/>
        <w:ind w:left="644"/>
      </w:pPr>
      <w:r>
        <w:t>E</w:t>
      </w:r>
      <w:r w:rsidR="00446BA0">
        <w:t>l</w:t>
      </w:r>
      <w:r w:rsidR="006614CF">
        <w:t xml:space="preserve"> actuario independiente</w:t>
      </w:r>
      <w:r w:rsidR="00761529">
        <w:t xml:space="preserve"> puede realizar los cambios que considere necesarios</w:t>
      </w:r>
      <w:r>
        <w:t xml:space="preserve"> para ampliar el alcance</w:t>
      </w:r>
      <w:r w:rsidR="006A2B48">
        <w:t>,</w:t>
      </w:r>
      <w:r w:rsidR="00761529">
        <w:t xml:space="preserve"> así como incorporar aquella información que ayude a entender de una mejor manera el establecimiento de las cifras de las provisiones. </w:t>
      </w:r>
    </w:p>
    <w:p w14:paraId="17946393" w14:textId="288FC12E" w:rsidR="0014572C" w:rsidRDefault="0014572C" w:rsidP="000E01E9">
      <w:pPr>
        <w:pStyle w:val="Ttulo2"/>
        <w:spacing w:before="120" w:after="120" w:line="276" w:lineRule="auto"/>
        <w:ind w:left="644"/>
      </w:pPr>
      <w:r>
        <w:t xml:space="preserve">El informe corresponde a un instrumento formal para revelar los resultados de la evaluación de provisiones técnicas. Por tanto, resulta </w:t>
      </w:r>
      <w:r w:rsidR="003F736A">
        <w:t>un requisito</w:t>
      </w:r>
      <w:r>
        <w:t xml:space="preserve"> que </w:t>
      </w:r>
      <w:r w:rsidR="008F00E8">
        <w:t xml:space="preserve">no </w:t>
      </w:r>
      <w:r w:rsidR="00D909E9">
        <w:t>participe el actuario que formó</w:t>
      </w:r>
      <w:r w:rsidR="00D806BF">
        <w:t xml:space="preserve"> </w:t>
      </w:r>
      <w:r w:rsidR="00D909E9">
        <w:t xml:space="preserve">parte de </w:t>
      </w:r>
      <w:r>
        <w:t xml:space="preserve">la </w:t>
      </w:r>
      <w:r w:rsidRPr="00974D63">
        <w:t>elaboración</w:t>
      </w:r>
      <w:r>
        <w:t xml:space="preserve"> de las notas técnicas</w:t>
      </w:r>
      <w:r w:rsidR="00D909E9">
        <w:t xml:space="preserve"> y</w:t>
      </w:r>
      <w:r w:rsidR="00D806BF">
        <w:t xml:space="preserve"> el cálculo </w:t>
      </w:r>
      <w:r>
        <w:t xml:space="preserve">de </w:t>
      </w:r>
      <w:r w:rsidR="00D806BF">
        <w:t xml:space="preserve">las provisiones cuya suficiencia se evalúa, o </w:t>
      </w:r>
      <w:r w:rsidR="00D909E9">
        <w:t>que pertenezca a</w:t>
      </w:r>
      <w:r w:rsidR="00D806BF">
        <w:t xml:space="preserve"> las áreas de negocio que realizan dichas actividades.</w:t>
      </w:r>
    </w:p>
    <w:p w14:paraId="0C196C52" w14:textId="77777777" w:rsidR="00526AE5" w:rsidRPr="00526AE5" w:rsidRDefault="00526AE5" w:rsidP="000E01E9">
      <w:pPr>
        <w:spacing w:before="120" w:after="120"/>
      </w:pPr>
    </w:p>
    <w:p w14:paraId="465D2A21" w14:textId="77777777" w:rsidR="00B04AD5" w:rsidRPr="00B04AD5" w:rsidRDefault="0020644E" w:rsidP="000E01E9">
      <w:pPr>
        <w:pStyle w:val="Ttulo1"/>
      </w:pPr>
      <w:r>
        <w:lastRenderedPageBreak/>
        <w:t>Objetivo</w:t>
      </w:r>
      <w:r w:rsidR="00B04AD5">
        <w:t xml:space="preserve"> y periodicidad</w:t>
      </w:r>
    </w:p>
    <w:p w14:paraId="727A2959" w14:textId="2207F1CB" w:rsidR="00432622" w:rsidRDefault="00086BE0" w:rsidP="000E01E9">
      <w:pPr>
        <w:pStyle w:val="Ttulo2"/>
        <w:numPr>
          <w:ilvl w:val="0"/>
          <w:numId w:val="15"/>
        </w:numPr>
        <w:spacing w:before="120" w:after="120" w:line="276" w:lineRule="auto"/>
      </w:pPr>
      <w:r w:rsidRPr="00086BE0">
        <w:rPr>
          <w:b/>
          <w:i/>
        </w:rPr>
        <w:t>Objetivo del Informe:</w:t>
      </w:r>
      <w:r>
        <w:t xml:space="preserve"> </w:t>
      </w:r>
      <w:r w:rsidR="0020644E">
        <w:t xml:space="preserve">El informe sobre la suficiencia de las provisiones técnicas tiene el objetivo de valorar la </w:t>
      </w:r>
      <w:r w:rsidR="00AD62AF">
        <w:t xml:space="preserve">suficiencia y adecuación </w:t>
      </w:r>
      <w:r w:rsidR="0020644E">
        <w:t>del contenido económico de las diferentes cuentas de provisión que registren las entidades de seguros</w:t>
      </w:r>
      <w:r w:rsidR="006028E1">
        <w:t xml:space="preserve">. La evaluación considera también un criterio sobre </w:t>
      </w:r>
      <w:r w:rsidR="00D760B9" w:rsidRPr="00D760B9">
        <w:t>la aplicabilidad y pertinencia de los métodos empleados</w:t>
      </w:r>
      <w:r w:rsidR="006028E1">
        <w:t xml:space="preserve">, así como </w:t>
      </w:r>
      <w:r w:rsidR="00D760B9" w:rsidRPr="00D760B9">
        <w:t>la</w:t>
      </w:r>
      <w:r w:rsidR="00446BA0" w:rsidRPr="00446BA0">
        <w:t xml:space="preserve"> verificación </w:t>
      </w:r>
      <w:r w:rsidR="00794FAA">
        <w:t>de</w:t>
      </w:r>
      <w:r w:rsidR="00446BA0" w:rsidRPr="00446BA0">
        <w:t xml:space="preserve"> las bases de datos </w:t>
      </w:r>
      <w:r w:rsidR="00446BA0">
        <w:t xml:space="preserve">utilizadas para los cálculos de las provisiones técnicas con el fin de que se garantice </w:t>
      </w:r>
      <w:r w:rsidR="00794FAA">
        <w:t>la suficiencia y</w:t>
      </w:r>
      <w:r w:rsidR="00446BA0">
        <w:t xml:space="preserve"> </w:t>
      </w:r>
      <w:r w:rsidR="00446BA0" w:rsidRPr="00446BA0">
        <w:t xml:space="preserve">calidad de los datos </w:t>
      </w:r>
      <w:r w:rsidR="00D760B9" w:rsidRPr="00D760B9">
        <w:t>utilizados.</w:t>
      </w:r>
    </w:p>
    <w:p w14:paraId="04135AA0" w14:textId="68705B2A" w:rsidR="0020644E" w:rsidRDefault="00FF7812" w:rsidP="000E01E9">
      <w:pPr>
        <w:pStyle w:val="Ttulo2"/>
        <w:spacing w:before="120" w:after="120" w:line="276" w:lineRule="auto"/>
        <w:ind w:left="1004"/>
      </w:pPr>
      <w:r>
        <w:t>Por lo tanto,</w:t>
      </w:r>
      <w:r w:rsidR="00E31080">
        <w:t xml:space="preserve"> se espera que</w:t>
      </w:r>
      <w:r>
        <w:t xml:space="preserve"> </w:t>
      </w:r>
      <w:r w:rsidR="00A10E48">
        <w:t xml:space="preserve">el informe </w:t>
      </w:r>
      <w:r w:rsidR="00E31080">
        <w:t>sea</w:t>
      </w:r>
      <w:r w:rsidR="00A10E48">
        <w:t xml:space="preserve"> útil para que la entidad aseguradora gestione el riesgo de insuficiencia de provisiones técnicas. En particular</w:t>
      </w:r>
      <w:r w:rsidR="00821BEF">
        <w:t>, el alcance del informe</w:t>
      </w:r>
      <w:r w:rsidR="00A10E48">
        <w:t xml:space="preserve"> </w:t>
      </w:r>
      <w:r w:rsidR="00DE4BF5">
        <w:t>debe</w:t>
      </w:r>
      <w:r w:rsidR="00F84C9E">
        <w:t>ría considerar lo siguiente:</w:t>
      </w:r>
      <w:r w:rsidR="00A46718" w:rsidRPr="00A46718">
        <w:rPr>
          <w:szCs w:val="28"/>
        </w:rPr>
        <w:t xml:space="preserve"> </w:t>
      </w:r>
    </w:p>
    <w:p w14:paraId="2D223CB1" w14:textId="47099B48" w:rsidR="00446BA0" w:rsidRDefault="00446BA0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Evaluar </w:t>
      </w:r>
      <w:r w:rsidR="00A46718">
        <w:rPr>
          <w:sz w:val="28"/>
          <w:szCs w:val="28"/>
        </w:rPr>
        <w:t>la calidad, adecuación, integridad y exactitud</w:t>
      </w:r>
      <w:r>
        <w:rPr>
          <w:sz w:val="28"/>
          <w:szCs w:val="28"/>
        </w:rPr>
        <w:t xml:space="preserve"> de las bases de datos utilizadas para el cálculo de las provisiones técnicas.</w:t>
      </w:r>
    </w:p>
    <w:p w14:paraId="32B69D1C" w14:textId="2FEF067C" w:rsidR="00583CC7" w:rsidRDefault="00583CC7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Emitir recomendaciones sobre</w:t>
      </w:r>
      <w:r w:rsidR="003D57FC">
        <w:rPr>
          <w:sz w:val="28"/>
          <w:szCs w:val="28"/>
        </w:rPr>
        <w:t xml:space="preserve"> </w:t>
      </w:r>
      <w:r w:rsidR="00F1241D">
        <w:rPr>
          <w:sz w:val="28"/>
          <w:szCs w:val="28"/>
        </w:rPr>
        <w:t>los procesos de generación de los datos utilizados en el cálculo de las provisiones técnicas</w:t>
      </w:r>
      <w:r w:rsidR="0078064A">
        <w:rPr>
          <w:sz w:val="28"/>
          <w:szCs w:val="28"/>
        </w:rPr>
        <w:t>.</w:t>
      </w:r>
    </w:p>
    <w:p w14:paraId="37D21115" w14:textId="6BF5C57E" w:rsidR="00D64E10" w:rsidRDefault="003B7B1D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Revisar la adecuación de las metodologías y los modelos</w:t>
      </w:r>
      <w:r w:rsidR="000439CC">
        <w:rPr>
          <w:sz w:val="28"/>
          <w:szCs w:val="28"/>
        </w:rPr>
        <w:t xml:space="preserve"> </w:t>
      </w:r>
      <w:r>
        <w:rPr>
          <w:sz w:val="28"/>
          <w:szCs w:val="28"/>
        </w:rPr>
        <w:t>utilizados, así como las hipótesis empleadas en el cálculo de las provisiones técnicas.</w:t>
      </w:r>
    </w:p>
    <w:p w14:paraId="70898B08" w14:textId="12AE3D42" w:rsidR="00296182" w:rsidRDefault="00CE357F" w:rsidP="000E01E9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Comp</w:t>
      </w:r>
      <w:r w:rsidR="00DC4114">
        <w:rPr>
          <w:sz w:val="28"/>
          <w:szCs w:val="28"/>
        </w:rPr>
        <w:t>arar</w:t>
      </w:r>
      <w:r w:rsidR="00296182">
        <w:rPr>
          <w:sz w:val="28"/>
          <w:szCs w:val="28"/>
        </w:rPr>
        <w:t xml:space="preserve"> las mejores estimaciones</w:t>
      </w:r>
      <w:r>
        <w:rPr>
          <w:sz w:val="28"/>
          <w:szCs w:val="28"/>
        </w:rPr>
        <w:t xml:space="preserve"> con</w:t>
      </w:r>
      <w:r w:rsidR="00DC4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experiencia </w:t>
      </w:r>
      <w:r w:rsidR="00DC4114">
        <w:rPr>
          <w:sz w:val="28"/>
          <w:szCs w:val="28"/>
        </w:rPr>
        <w:t>anterior.</w:t>
      </w:r>
    </w:p>
    <w:p w14:paraId="7588679D" w14:textId="5B74DBD4" w:rsidR="00086BE0" w:rsidRPr="00086BE0" w:rsidRDefault="00FF7812" w:rsidP="000E01E9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 w:rsidRPr="00086BE0">
        <w:rPr>
          <w:sz w:val="28"/>
          <w:szCs w:val="28"/>
        </w:rPr>
        <w:t xml:space="preserve">Evaluar </w:t>
      </w:r>
      <w:r w:rsidR="006C0D92">
        <w:rPr>
          <w:sz w:val="28"/>
          <w:szCs w:val="28"/>
        </w:rPr>
        <w:t xml:space="preserve">que las </w:t>
      </w:r>
      <w:r w:rsidRPr="00086BE0">
        <w:rPr>
          <w:sz w:val="28"/>
          <w:szCs w:val="28"/>
        </w:rPr>
        <w:t>provisiones</w:t>
      </w:r>
      <w:r w:rsidR="006C0D92">
        <w:rPr>
          <w:sz w:val="28"/>
          <w:szCs w:val="28"/>
        </w:rPr>
        <w:t xml:space="preserve"> </w:t>
      </w:r>
      <w:r w:rsidR="006028E1">
        <w:rPr>
          <w:sz w:val="28"/>
          <w:szCs w:val="28"/>
        </w:rPr>
        <w:t xml:space="preserve">técnicas </w:t>
      </w:r>
      <w:r w:rsidR="006C0D92">
        <w:rPr>
          <w:sz w:val="28"/>
          <w:szCs w:val="28"/>
        </w:rPr>
        <w:t>sean suficientes</w:t>
      </w:r>
      <w:r w:rsidR="006028E1">
        <w:rPr>
          <w:sz w:val="28"/>
          <w:szCs w:val="28"/>
        </w:rPr>
        <w:t xml:space="preserve"> para atender l</w:t>
      </w:r>
      <w:r w:rsidR="00146F39">
        <w:rPr>
          <w:sz w:val="28"/>
          <w:szCs w:val="28"/>
        </w:rPr>
        <w:t xml:space="preserve">a estimación de </w:t>
      </w:r>
      <w:r w:rsidR="006C0D92">
        <w:rPr>
          <w:sz w:val="28"/>
          <w:szCs w:val="28"/>
        </w:rPr>
        <w:t>las obligaciones contraídas</w:t>
      </w:r>
      <w:r w:rsidR="00086BE0" w:rsidRPr="00086BE0">
        <w:rPr>
          <w:sz w:val="28"/>
          <w:szCs w:val="28"/>
        </w:rPr>
        <w:t>.</w:t>
      </w:r>
    </w:p>
    <w:p w14:paraId="0CFBFAC8" w14:textId="77777777" w:rsidR="00FF7812" w:rsidRDefault="00FB397F" w:rsidP="000E01E9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Identificar las causas que podrían originar </w:t>
      </w:r>
      <w:r w:rsidR="00583CC9">
        <w:rPr>
          <w:sz w:val="28"/>
          <w:szCs w:val="28"/>
        </w:rPr>
        <w:t xml:space="preserve">insuficiencia </w:t>
      </w:r>
      <w:r>
        <w:rPr>
          <w:sz w:val="28"/>
          <w:szCs w:val="28"/>
        </w:rPr>
        <w:t>en las provisiones.</w:t>
      </w:r>
    </w:p>
    <w:p w14:paraId="39D0912A" w14:textId="77777777" w:rsidR="00A10E48" w:rsidRPr="00AF1EA7" w:rsidRDefault="005B5710" w:rsidP="000E01E9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 w:rsidRPr="001A200C">
        <w:rPr>
          <w:sz w:val="28"/>
          <w:szCs w:val="28"/>
        </w:rPr>
        <w:t>Emitir recomendaciones con relación a las</w:t>
      </w:r>
      <w:r w:rsidR="00A10E48" w:rsidRPr="005B5710">
        <w:rPr>
          <w:sz w:val="28"/>
          <w:szCs w:val="28"/>
        </w:rPr>
        <w:t xml:space="preserve"> medidas </w:t>
      </w:r>
      <w:r w:rsidRPr="001A200C">
        <w:rPr>
          <w:sz w:val="28"/>
          <w:szCs w:val="28"/>
        </w:rPr>
        <w:t>que permitirían</w:t>
      </w:r>
      <w:r w:rsidR="00FB397F" w:rsidRPr="00323B29">
        <w:rPr>
          <w:sz w:val="28"/>
          <w:szCs w:val="28"/>
        </w:rPr>
        <w:t xml:space="preserve"> </w:t>
      </w:r>
      <w:r w:rsidR="00A10E48" w:rsidRPr="00AF1EA7">
        <w:rPr>
          <w:sz w:val="28"/>
          <w:szCs w:val="28"/>
        </w:rPr>
        <w:t>alcanzar un nivel de provisiones técnicas adecuado.</w:t>
      </w:r>
    </w:p>
    <w:p w14:paraId="115DCF2E" w14:textId="76E99E55" w:rsidR="00A10E48" w:rsidRPr="00A10E48" w:rsidRDefault="00AF1EA7" w:rsidP="000E01E9">
      <w:pPr>
        <w:pStyle w:val="Prrafodelista"/>
        <w:numPr>
          <w:ilvl w:val="0"/>
          <w:numId w:val="6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Citar oportunidades de mejora</w:t>
      </w:r>
      <w:r w:rsidR="00794FAA">
        <w:rPr>
          <w:sz w:val="28"/>
          <w:szCs w:val="28"/>
        </w:rPr>
        <w:t>,</w:t>
      </w:r>
      <w:r>
        <w:rPr>
          <w:sz w:val="28"/>
          <w:szCs w:val="28"/>
        </w:rPr>
        <w:t xml:space="preserve"> a nivel </w:t>
      </w:r>
      <w:r w:rsidR="00A10E48" w:rsidRPr="00A10E48">
        <w:rPr>
          <w:sz w:val="28"/>
          <w:szCs w:val="28"/>
        </w:rPr>
        <w:t>técnico y operativo</w:t>
      </w:r>
      <w:r w:rsidR="00794FAA">
        <w:rPr>
          <w:sz w:val="28"/>
          <w:szCs w:val="28"/>
        </w:rPr>
        <w:t>,</w:t>
      </w:r>
      <w:r>
        <w:rPr>
          <w:sz w:val="28"/>
          <w:szCs w:val="28"/>
        </w:rPr>
        <w:t xml:space="preserve"> de</w:t>
      </w:r>
      <w:r w:rsidR="00A10E48" w:rsidRPr="00A10E48">
        <w:rPr>
          <w:sz w:val="28"/>
          <w:szCs w:val="28"/>
        </w:rPr>
        <w:t xml:space="preserve"> la gestión de provisiones técnicas que </w:t>
      </w:r>
      <w:r w:rsidR="00A10E48" w:rsidRPr="00974D63">
        <w:rPr>
          <w:sz w:val="28"/>
          <w:szCs w:val="28"/>
        </w:rPr>
        <w:t>permitan</w:t>
      </w:r>
      <w:r w:rsidR="00A10E48" w:rsidRPr="00A10E48">
        <w:rPr>
          <w:sz w:val="28"/>
          <w:szCs w:val="28"/>
        </w:rPr>
        <w:t xml:space="preserve"> el cumplimiento de la normativa vigente</w:t>
      </w:r>
      <w:r w:rsidR="00580E72">
        <w:rPr>
          <w:sz w:val="28"/>
          <w:szCs w:val="28"/>
        </w:rPr>
        <w:t>, en caso de ser necesario</w:t>
      </w:r>
      <w:r w:rsidR="00A10E48" w:rsidRPr="00A10E48">
        <w:rPr>
          <w:sz w:val="28"/>
          <w:szCs w:val="28"/>
        </w:rPr>
        <w:t>.</w:t>
      </w:r>
    </w:p>
    <w:p w14:paraId="2D87D5C5" w14:textId="7E6B0FB8" w:rsidR="00526AE5" w:rsidRDefault="00526AE5" w:rsidP="000E01E9">
      <w:pPr>
        <w:pStyle w:val="Ttulo2"/>
        <w:numPr>
          <w:ilvl w:val="0"/>
          <w:numId w:val="15"/>
        </w:numPr>
        <w:spacing w:before="120" w:after="120" w:line="276" w:lineRule="auto"/>
      </w:pPr>
      <w:r>
        <w:rPr>
          <w:b/>
          <w:i/>
        </w:rPr>
        <w:t>Periodicidad</w:t>
      </w:r>
      <w:r w:rsidR="00735720">
        <w:rPr>
          <w:b/>
          <w:i/>
        </w:rPr>
        <w:t xml:space="preserve"> del informe</w:t>
      </w:r>
      <w:r>
        <w:rPr>
          <w:b/>
          <w:i/>
        </w:rPr>
        <w:t xml:space="preserve">. </w:t>
      </w:r>
      <w:r>
        <w:t>El informe debe presentarse</w:t>
      </w:r>
      <w:r w:rsidR="006614CF">
        <w:t xml:space="preserve"> </w:t>
      </w:r>
      <w:r w:rsidR="002B4AE0">
        <w:t xml:space="preserve">según lo dispuesto en lo establecido en el </w:t>
      </w:r>
      <w:r w:rsidR="00D31E41">
        <w:t xml:space="preserve">artículo </w:t>
      </w:r>
      <w:r w:rsidR="00346F9B">
        <w:t xml:space="preserve">21 </w:t>
      </w:r>
      <w:r w:rsidR="00D31E41">
        <w:t xml:space="preserve">– </w:t>
      </w:r>
      <w:r w:rsidR="002B4AE0">
        <w:t xml:space="preserve">ACUERDO </w:t>
      </w:r>
      <w:r w:rsidR="00D31E41">
        <w:t>SUGE</w:t>
      </w:r>
      <w:r w:rsidR="00346F9B">
        <w:t>SE</w:t>
      </w:r>
      <w:r w:rsidR="00D31E41">
        <w:t xml:space="preserve"> </w:t>
      </w:r>
      <w:r w:rsidR="00346F9B">
        <w:t>02-13</w:t>
      </w:r>
      <w:r w:rsidR="002B4AE0">
        <w:t xml:space="preserve"> y artículo 37 del Reglamento de Información Financiera ACUERDO SUGEF 30-18</w:t>
      </w:r>
      <w:r w:rsidR="00D31E41" w:rsidRPr="00D31E41">
        <w:t>.</w:t>
      </w:r>
      <w:r w:rsidR="00735720">
        <w:t xml:space="preserve"> Las evaluaciones sobre las provisiones deberán realizarse sobre la información con corte al 31 de diciembre de</w:t>
      </w:r>
      <w:r w:rsidR="007E528A">
        <w:t>l año finalizado</w:t>
      </w:r>
      <w:r w:rsidR="006028E1">
        <w:t xml:space="preserve"> y entregarse junto con los estados financieros auditados.</w:t>
      </w:r>
    </w:p>
    <w:p w14:paraId="329414B8" w14:textId="77777777" w:rsidR="00B04AD5" w:rsidRPr="00B04AD5" w:rsidRDefault="00A10E48" w:rsidP="000E01E9">
      <w:pPr>
        <w:pStyle w:val="Ttulo1"/>
      </w:pPr>
      <w:r>
        <w:t>Revelación de información</w:t>
      </w:r>
    </w:p>
    <w:p w14:paraId="6B8496A9" w14:textId="77777777" w:rsidR="00735720" w:rsidRDefault="00735720" w:rsidP="000E01E9">
      <w:pPr>
        <w:pStyle w:val="Ttulo2"/>
        <w:spacing w:before="120" w:after="120" w:line="276" w:lineRule="auto"/>
        <w:ind w:left="720"/>
      </w:pPr>
      <w:r>
        <w:t>El informe deber</w:t>
      </w:r>
      <w:r w:rsidR="00A10E48">
        <w:t xml:space="preserve">ía </w:t>
      </w:r>
      <w:r>
        <w:t>hacer referencia y contener</w:t>
      </w:r>
      <w:r w:rsidR="00A10E48">
        <w:t xml:space="preserve"> como mínimo la siguiente información</w:t>
      </w:r>
      <w:r>
        <w:t>:</w:t>
      </w:r>
    </w:p>
    <w:p w14:paraId="5EE0BBD9" w14:textId="77777777" w:rsidR="00C47B4C" w:rsidRPr="00C47B4C" w:rsidRDefault="00316103" w:rsidP="000E01E9">
      <w:pPr>
        <w:pStyle w:val="Prrafodelista"/>
        <w:numPr>
          <w:ilvl w:val="0"/>
          <w:numId w:val="8"/>
        </w:numPr>
        <w:spacing w:before="120" w:after="120"/>
        <w:contextualSpacing w:val="0"/>
        <w:jc w:val="both"/>
      </w:pPr>
      <w:r w:rsidRPr="00316103">
        <w:rPr>
          <w:i/>
          <w:sz w:val="28"/>
          <w:szCs w:val="28"/>
          <w:u w:val="single"/>
        </w:rPr>
        <w:t xml:space="preserve">Información </w:t>
      </w:r>
      <w:r w:rsidR="00BF5318">
        <w:rPr>
          <w:i/>
          <w:sz w:val="28"/>
          <w:szCs w:val="28"/>
          <w:u w:val="single"/>
        </w:rPr>
        <w:t>g</w:t>
      </w:r>
      <w:r w:rsidRPr="00316103">
        <w:rPr>
          <w:i/>
          <w:sz w:val="28"/>
          <w:szCs w:val="28"/>
          <w:u w:val="single"/>
        </w:rPr>
        <w:t>eneral</w:t>
      </w:r>
      <w:r>
        <w:rPr>
          <w:sz w:val="28"/>
          <w:szCs w:val="28"/>
        </w:rPr>
        <w:t>:</w:t>
      </w:r>
    </w:p>
    <w:p w14:paraId="6E934FFE" w14:textId="7CBCC0B9" w:rsidR="00C47B4C" w:rsidRPr="00C47B4C" w:rsidRDefault="00E87BA8" w:rsidP="000E01E9">
      <w:pPr>
        <w:pStyle w:val="Prrafodelista"/>
        <w:numPr>
          <w:ilvl w:val="0"/>
          <w:numId w:val="9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Entidad: </w:t>
      </w:r>
      <w:r w:rsidR="00F4619A">
        <w:rPr>
          <w:sz w:val="28"/>
          <w:szCs w:val="28"/>
        </w:rPr>
        <w:t>n</w:t>
      </w:r>
      <w:r w:rsidR="00C47B4C" w:rsidRPr="00C47B4C">
        <w:rPr>
          <w:sz w:val="28"/>
          <w:szCs w:val="28"/>
        </w:rPr>
        <w:t xml:space="preserve">ombre de la </w:t>
      </w:r>
      <w:r w:rsidR="00031C10">
        <w:rPr>
          <w:sz w:val="28"/>
          <w:szCs w:val="28"/>
        </w:rPr>
        <w:t>aseguradora</w:t>
      </w:r>
      <w:r w:rsidR="00C47B4C" w:rsidRPr="00C47B4C">
        <w:rPr>
          <w:sz w:val="28"/>
          <w:szCs w:val="28"/>
        </w:rPr>
        <w:t xml:space="preserve"> </w:t>
      </w:r>
      <w:r w:rsidR="00031C10">
        <w:rPr>
          <w:sz w:val="28"/>
          <w:szCs w:val="28"/>
        </w:rPr>
        <w:t>para</w:t>
      </w:r>
      <w:r w:rsidR="00031C10" w:rsidRPr="00C47B4C">
        <w:rPr>
          <w:sz w:val="28"/>
          <w:szCs w:val="28"/>
        </w:rPr>
        <w:t xml:space="preserve"> </w:t>
      </w:r>
      <w:r w:rsidR="00C47B4C" w:rsidRPr="00C47B4C">
        <w:rPr>
          <w:sz w:val="28"/>
          <w:szCs w:val="28"/>
        </w:rPr>
        <w:t>la</w:t>
      </w:r>
      <w:r w:rsidR="00031C10">
        <w:rPr>
          <w:sz w:val="28"/>
          <w:szCs w:val="28"/>
        </w:rPr>
        <w:t xml:space="preserve"> cual</w:t>
      </w:r>
      <w:r w:rsidR="00C47B4C" w:rsidRPr="00C47B4C">
        <w:rPr>
          <w:sz w:val="28"/>
          <w:szCs w:val="28"/>
        </w:rPr>
        <w:t xml:space="preserve"> se realizó el informe</w:t>
      </w:r>
      <w:r w:rsidR="00CB4C26">
        <w:rPr>
          <w:sz w:val="28"/>
          <w:szCs w:val="28"/>
        </w:rPr>
        <w:t>.</w:t>
      </w:r>
    </w:p>
    <w:p w14:paraId="2470AD26" w14:textId="703A6E9E" w:rsidR="006614CF" w:rsidRPr="006614CF" w:rsidRDefault="00E87BA8" w:rsidP="000E01E9">
      <w:pPr>
        <w:pStyle w:val="Prrafodelista"/>
        <w:numPr>
          <w:ilvl w:val="0"/>
          <w:numId w:val="9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Actuario: </w:t>
      </w:r>
      <w:r w:rsidR="00F4619A">
        <w:rPr>
          <w:sz w:val="28"/>
          <w:szCs w:val="28"/>
        </w:rPr>
        <w:t>n</w:t>
      </w:r>
      <w:r w:rsidR="00C47B4C" w:rsidRPr="00C47B4C">
        <w:rPr>
          <w:sz w:val="28"/>
          <w:szCs w:val="28"/>
        </w:rPr>
        <w:t>ombre completo</w:t>
      </w:r>
      <w:r w:rsidR="002C4F70">
        <w:rPr>
          <w:sz w:val="28"/>
          <w:szCs w:val="28"/>
        </w:rPr>
        <w:t xml:space="preserve">, </w:t>
      </w:r>
      <w:r w:rsidR="00C47B4C" w:rsidRPr="00C47B4C">
        <w:rPr>
          <w:sz w:val="28"/>
          <w:szCs w:val="28"/>
        </w:rPr>
        <w:t>número de acreditación</w:t>
      </w:r>
      <w:r w:rsidR="00583CC9">
        <w:rPr>
          <w:sz w:val="28"/>
          <w:szCs w:val="28"/>
        </w:rPr>
        <w:t xml:space="preserve"> del colegio profesional, si existiera,</w:t>
      </w:r>
      <w:r w:rsidR="002C4F70">
        <w:rPr>
          <w:sz w:val="28"/>
          <w:szCs w:val="28"/>
        </w:rPr>
        <w:t xml:space="preserve"> y país de acreditación</w:t>
      </w:r>
      <w:r w:rsidR="00C47B4C" w:rsidRPr="00C47B4C">
        <w:rPr>
          <w:sz w:val="28"/>
          <w:szCs w:val="28"/>
        </w:rPr>
        <w:t xml:space="preserve"> del actuario</w:t>
      </w:r>
      <w:r w:rsidR="002C4F70">
        <w:rPr>
          <w:sz w:val="28"/>
          <w:szCs w:val="28"/>
        </w:rPr>
        <w:t xml:space="preserve"> responsable de la evaluación, en los casos que corresponda</w:t>
      </w:r>
      <w:r w:rsidR="00C47B4C" w:rsidRPr="00C47B4C">
        <w:rPr>
          <w:sz w:val="28"/>
          <w:szCs w:val="28"/>
        </w:rPr>
        <w:t>.</w:t>
      </w:r>
    </w:p>
    <w:p w14:paraId="11AF579C" w14:textId="77777777" w:rsidR="00C47B4C" w:rsidRPr="00CB4C26" w:rsidRDefault="006614CF" w:rsidP="000E01E9">
      <w:pPr>
        <w:pStyle w:val="Prrafodelista"/>
        <w:numPr>
          <w:ilvl w:val="0"/>
          <w:numId w:val="9"/>
        </w:numPr>
        <w:spacing w:before="120" w:after="120"/>
        <w:contextualSpacing w:val="0"/>
        <w:jc w:val="both"/>
      </w:pPr>
      <w:r>
        <w:rPr>
          <w:sz w:val="28"/>
          <w:szCs w:val="28"/>
        </w:rPr>
        <w:t>Indicar la firma</w:t>
      </w:r>
      <w:r w:rsidR="001862DA">
        <w:rPr>
          <w:sz w:val="28"/>
          <w:szCs w:val="28"/>
        </w:rPr>
        <w:t xml:space="preserve"> o compañía</w:t>
      </w:r>
      <w:r>
        <w:rPr>
          <w:sz w:val="28"/>
          <w:szCs w:val="28"/>
        </w:rPr>
        <w:t xml:space="preserve"> para la cual trabaja</w:t>
      </w:r>
      <w:r w:rsidR="001862DA">
        <w:rPr>
          <w:sz w:val="28"/>
          <w:szCs w:val="28"/>
        </w:rPr>
        <w:t xml:space="preserve"> y que fue contratada para</w:t>
      </w:r>
      <w:r>
        <w:rPr>
          <w:sz w:val="28"/>
          <w:szCs w:val="28"/>
        </w:rPr>
        <w:t xml:space="preserve"> la elaboración del informe</w:t>
      </w:r>
      <w:r w:rsidR="00AC5CDE">
        <w:rPr>
          <w:sz w:val="28"/>
          <w:szCs w:val="28"/>
        </w:rPr>
        <w:t xml:space="preserve">, si </w:t>
      </w:r>
      <w:r w:rsidR="001862DA">
        <w:rPr>
          <w:sz w:val="28"/>
          <w:szCs w:val="28"/>
        </w:rPr>
        <w:t>aplica</w:t>
      </w:r>
      <w:r>
        <w:rPr>
          <w:sz w:val="28"/>
          <w:szCs w:val="28"/>
        </w:rPr>
        <w:t>.</w:t>
      </w:r>
    </w:p>
    <w:p w14:paraId="0EC0B61F" w14:textId="0CB29585" w:rsidR="00CB4C26" w:rsidRPr="00C47B4C" w:rsidRDefault="00E87BA8" w:rsidP="000E01E9">
      <w:pPr>
        <w:pStyle w:val="Prrafodelista"/>
        <w:numPr>
          <w:ilvl w:val="0"/>
          <w:numId w:val="9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Independencia: </w:t>
      </w:r>
      <w:r w:rsidR="00F4619A">
        <w:rPr>
          <w:sz w:val="28"/>
          <w:szCs w:val="28"/>
        </w:rPr>
        <w:t>d</w:t>
      </w:r>
      <w:r w:rsidR="00CB4C26">
        <w:rPr>
          <w:sz w:val="28"/>
          <w:szCs w:val="28"/>
        </w:rPr>
        <w:t xml:space="preserve">eclaración </w:t>
      </w:r>
      <w:r w:rsidR="002C4F70">
        <w:rPr>
          <w:sz w:val="28"/>
          <w:szCs w:val="28"/>
        </w:rPr>
        <w:t>jurada que indique la</w:t>
      </w:r>
      <w:r w:rsidR="00CB4C26">
        <w:rPr>
          <w:sz w:val="28"/>
          <w:szCs w:val="28"/>
        </w:rPr>
        <w:t xml:space="preserve"> independencia</w:t>
      </w:r>
      <w:r w:rsidR="006614CF">
        <w:rPr>
          <w:sz w:val="28"/>
          <w:szCs w:val="28"/>
        </w:rPr>
        <w:t xml:space="preserve"> del actuario</w:t>
      </w:r>
      <w:r w:rsidR="00CB4C26">
        <w:rPr>
          <w:sz w:val="28"/>
          <w:szCs w:val="28"/>
        </w:rPr>
        <w:t xml:space="preserve"> </w:t>
      </w:r>
      <w:r w:rsidR="00AC5CDE">
        <w:rPr>
          <w:sz w:val="28"/>
          <w:szCs w:val="28"/>
        </w:rPr>
        <w:t xml:space="preserve">con respecto al </w:t>
      </w:r>
      <w:r w:rsidR="00CB4C26">
        <w:rPr>
          <w:sz w:val="28"/>
          <w:szCs w:val="28"/>
        </w:rPr>
        <w:t xml:space="preserve">área encargada de </w:t>
      </w:r>
      <w:r w:rsidR="00AC5CDE">
        <w:rPr>
          <w:sz w:val="28"/>
          <w:szCs w:val="28"/>
        </w:rPr>
        <w:t xml:space="preserve">la elaboración de </w:t>
      </w:r>
      <w:r w:rsidR="00CB4C26">
        <w:rPr>
          <w:sz w:val="28"/>
          <w:szCs w:val="28"/>
        </w:rPr>
        <w:t xml:space="preserve">las notas técnicas </w:t>
      </w:r>
      <w:r w:rsidR="00AC5CDE">
        <w:rPr>
          <w:sz w:val="28"/>
          <w:szCs w:val="28"/>
        </w:rPr>
        <w:t>o</w:t>
      </w:r>
      <w:r w:rsidR="00CB4C26">
        <w:rPr>
          <w:sz w:val="28"/>
          <w:szCs w:val="28"/>
        </w:rPr>
        <w:t xml:space="preserve"> del cálculo de las provisiones</w:t>
      </w:r>
      <w:r w:rsidR="002C4F70">
        <w:rPr>
          <w:sz w:val="28"/>
          <w:szCs w:val="28"/>
        </w:rPr>
        <w:t xml:space="preserve"> de la entidad aseguradora</w:t>
      </w:r>
      <w:r w:rsidR="00CB4C26">
        <w:rPr>
          <w:sz w:val="28"/>
          <w:szCs w:val="28"/>
        </w:rPr>
        <w:t>.</w:t>
      </w:r>
    </w:p>
    <w:p w14:paraId="12176A74" w14:textId="3A1EB502" w:rsidR="00735720" w:rsidRPr="00C47B4C" w:rsidRDefault="00E87BA8" w:rsidP="000E01E9">
      <w:pPr>
        <w:pStyle w:val="Prrafodelista"/>
        <w:numPr>
          <w:ilvl w:val="0"/>
          <w:numId w:val="9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Periodo: </w:t>
      </w:r>
      <w:r w:rsidR="00F4619A">
        <w:rPr>
          <w:sz w:val="28"/>
          <w:szCs w:val="28"/>
        </w:rPr>
        <w:t>i</w:t>
      </w:r>
      <w:r w:rsidR="00BB3AE6">
        <w:rPr>
          <w:sz w:val="28"/>
          <w:szCs w:val="28"/>
        </w:rPr>
        <w:t xml:space="preserve">ndicación </w:t>
      </w:r>
      <w:r w:rsidR="00316103">
        <w:rPr>
          <w:sz w:val="28"/>
          <w:szCs w:val="28"/>
        </w:rPr>
        <w:t>del periodo de evaluación</w:t>
      </w:r>
      <w:r w:rsidR="006614CF">
        <w:rPr>
          <w:sz w:val="28"/>
          <w:szCs w:val="28"/>
        </w:rPr>
        <w:t xml:space="preserve"> de las provisiones </w:t>
      </w:r>
      <w:r w:rsidR="00086BE0">
        <w:rPr>
          <w:sz w:val="28"/>
          <w:szCs w:val="28"/>
        </w:rPr>
        <w:t>técnicas</w:t>
      </w:r>
      <w:r w:rsidR="00316103">
        <w:rPr>
          <w:sz w:val="28"/>
          <w:szCs w:val="28"/>
        </w:rPr>
        <w:t xml:space="preserve"> y fecha </w:t>
      </w:r>
      <w:r w:rsidR="00BB3AE6">
        <w:rPr>
          <w:sz w:val="28"/>
          <w:szCs w:val="28"/>
        </w:rPr>
        <w:t>del informe</w:t>
      </w:r>
      <w:r w:rsidR="00316103">
        <w:rPr>
          <w:sz w:val="28"/>
          <w:szCs w:val="28"/>
        </w:rPr>
        <w:t>.</w:t>
      </w:r>
    </w:p>
    <w:p w14:paraId="7FD17A32" w14:textId="77777777" w:rsidR="005F1C9E" w:rsidRDefault="003D5421" w:rsidP="000E01E9">
      <w:pPr>
        <w:pStyle w:val="Prrafodelista"/>
        <w:numPr>
          <w:ilvl w:val="0"/>
          <w:numId w:val="8"/>
        </w:numPr>
        <w:spacing w:before="120" w:after="120"/>
        <w:contextualSpacing w:val="0"/>
        <w:jc w:val="both"/>
      </w:pPr>
      <w:r>
        <w:rPr>
          <w:i/>
          <w:sz w:val="28"/>
          <w:szCs w:val="28"/>
          <w:u w:val="single"/>
        </w:rPr>
        <w:t>Detalle</w:t>
      </w:r>
      <w:r w:rsidR="005F1C9E">
        <w:rPr>
          <w:i/>
          <w:sz w:val="28"/>
          <w:szCs w:val="28"/>
          <w:u w:val="single"/>
        </w:rPr>
        <w:t xml:space="preserve"> para cada provisión técnica analizada</w:t>
      </w:r>
      <w:r w:rsidR="005063DA">
        <w:rPr>
          <w:i/>
          <w:sz w:val="28"/>
          <w:szCs w:val="28"/>
          <w:u w:val="single"/>
        </w:rPr>
        <w:t>, si aplica</w:t>
      </w:r>
      <w:r w:rsidR="00316103" w:rsidRPr="00316103">
        <w:t>:</w:t>
      </w:r>
    </w:p>
    <w:p w14:paraId="0558517D" w14:textId="77777777" w:rsidR="00B84B85" w:rsidRPr="00205134" w:rsidRDefault="002C4F70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Nombre de la </w:t>
      </w:r>
      <w:r w:rsidR="00F67A37">
        <w:rPr>
          <w:sz w:val="28"/>
          <w:szCs w:val="28"/>
        </w:rPr>
        <w:t>p</w:t>
      </w:r>
      <w:r w:rsidR="00C47B4C">
        <w:rPr>
          <w:sz w:val="28"/>
          <w:szCs w:val="28"/>
        </w:rPr>
        <w:t xml:space="preserve">rovisión </w:t>
      </w:r>
      <w:r w:rsidR="00F67A37">
        <w:rPr>
          <w:sz w:val="28"/>
          <w:szCs w:val="28"/>
        </w:rPr>
        <w:t>t</w:t>
      </w:r>
      <w:r w:rsidR="00C47B4C">
        <w:rPr>
          <w:sz w:val="28"/>
          <w:szCs w:val="28"/>
        </w:rPr>
        <w:t>écnica revisada.</w:t>
      </w:r>
    </w:p>
    <w:p w14:paraId="283AD153" w14:textId="37A44161" w:rsidR="00B3010E" w:rsidRPr="00B04AD5" w:rsidRDefault="00BD7024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lastRenderedPageBreak/>
        <w:t>Base para</w:t>
      </w:r>
      <w:r w:rsidR="00B3010E">
        <w:rPr>
          <w:sz w:val="28"/>
          <w:szCs w:val="28"/>
        </w:rPr>
        <w:t xml:space="preserve"> la verificación: indicar el ramo, línea</w:t>
      </w:r>
      <w:r w:rsidR="005502E0">
        <w:rPr>
          <w:sz w:val="28"/>
          <w:szCs w:val="28"/>
        </w:rPr>
        <w:t>,</w:t>
      </w:r>
      <w:r w:rsidR="00B3010E">
        <w:rPr>
          <w:sz w:val="28"/>
          <w:szCs w:val="28"/>
        </w:rPr>
        <w:t xml:space="preserve"> producto</w:t>
      </w:r>
      <w:r w:rsidR="00470721">
        <w:rPr>
          <w:sz w:val="28"/>
          <w:szCs w:val="28"/>
        </w:rPr>
        <w:t xml:space="preserve"> o</w:t>
      </w:r>
      <w:r w:rsidR="004554CC">
        <w:rPr>
          <w:sz w:val="28"/>
          <w:szCs w:val="28"/>
        </w:rPr>
        <w:t xml:space="preserve"> grupo </w:t>
      </w:r>
      <w:r w:rsidR="00160A58">
        <w:rPr>
          <w:sz w:val="28"/>
          <w:szCs w:val="28"/>
        </w:rPr>
        <w:t xml:space="preserve">homogéneo </w:t>
      </w:r>
      <w:r w:rsidR="00390D68">
        <w:rPr>
          <w:sz w:val="28"/>
          <w:szCs w:val="28"/>
        </w:rPr>
        <w:t>a partir d</w:t>
      </w:r>
      <w:r w:rsidR="00B3010E">
        <w:rPr>
          <w:sz w:val="28"/>
          <w:szCs w:val="28"/>
        </w:rPr>
        <w:t>el cual se realizó la valoración de la provisión.</w:t>
      </w:r>
    </w:p>
    <w:p w14:paraId="737D175E" w14:textId="77777777" w:rsidR="00B04AD5" w:rsidRPr="000E01E9" w:rsidRDefault="006D15BA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 w:rsidRPr="006D15BA">
        <w:rPr>
          <w:sz w:val="28"/>
          <w:szCs w:val="28"/>
        </w:rPr>
        <w:t xml:space="preserve">Definición de los grupos de riesgos homogéneos: explicar los criterios utilizados para </w:t>
      </w:r>
      <w:r w:rsidR="00A64A86">
        <w:rPr>
          <w:sz w:val="28"/>
          <w:szCs w:val="28"/>
        </w:rPr>
        <w:t>con</w:t>
      </w:r>
      <w:r w:rsidRPr="00974D63">
        <w:rPr>
          <w:sz w:val="28"/>
          <w:szCs w:val="28"/>
        </w:rPr>
        <w:t>formar</w:t>
      </w:r>
      <w:r w:rsidRPr="006D15BA">
        <w:rPr>
          <w:sz w:val="28"/>
          <w:szCs w:val="28"/>
        </w:rPr>
        <w:t xml:space="preserve"> los grupos de riesgo </w:t>
      </w:r>
      <w:r w:rsidR="00A64A86">
        <w:rPr>
          <w:sz w:val="28"/>
          <w:szCs w:val="28"/>
        </w:rPr>
        <w:t>y la composición de estos</w:t>
      </w:r>
      <w:r w:rsidR="00AC5CDE">
        <w:rPr>
          <w:sz w:val="28"/>
          <w:szCs w:val="28"/>
        </w:rPr>
        <w:t xml:space="preserve">, según lo establecido en el </w:t>
      </w:r>
      <w:r w:rsidR="00A64A86">
        <w:rPr>
          <w:sz w:val="28"/>
          <w:szCs w:val="28"/>
        </w:rPr>
        <w:t>a</w:t>
      </w:r>
      <w:r w:rsidR="00AC5CDE">
        <w:rPr>
          <w:sz w:val="28"/>
          <w:szCs w:val="28"/>
        </w:rPr>
        <w:t>rt. 19 del Reglamento</w:t>
      </w:r>
      <w:r w:rsidR="00A64A86">
        <w:rPr>
          <w:sz w:val="28"/>
          <w:szCs w:val="28"/>
        </w:rPr>
        <w:t xml:space="preserve"> sobre la solvencia de entidades de seguros y reaseguros</w:t>
      </w:r>
      <w:r>
        <w:rPr>
          <w:sz w:val="28"/>
          <w:szCs w:val="28"/>
        </w:rPr>
        <w:t>.</w:t>
      </w:r>
    </w:p>
    <w:p w14:paraId="02C29DB5" w14:textId="7E46B000" w:rsidR="008E1879" w:rsidRPr="000E01E9" w:rsidRDefault="008E187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Indicar si las bases de datos cuentan con la información que cita la normativa aplicable al efecto.</w:t>
      </w:r>
    </w:p>
    <w:p w14:paraId="0CA0FBEE" w14:textId="54FDD6C4" w:rsidR="00F90AD1" w:rsidRPr="001D469E" w:rsidRDefault="008D1E36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Expresar su criterio sobre los procesos y procedimientos internos necesarios para garantizar la calidad, adecuación, integridad y exactitud de los datos utilizados mediante los cuales se calculan las provisiones técnicas.</w:t>
      </w:r>
    </w:p>
    <w:p w14:paraId="20F67686" w14:textId="77777777" w:rsidR="001D469E" w:rsidRPr="001A200C" w:rsidRDefault="00AC5CDE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Metodología </w:t>
      </w:r>
      <w:r w:rsidR="00E93624">
        <w:rPr>
          <w:sz w:val="28"/>
          <w:szCs w:val="28"/>
        </w:rPr>
        <w:t>utilizada</w:t>
      </w:r>
      <w:r w:rsidR="001D469E">
        <w:rPr>
          <w:sz w:val="28"/>
          <w:szCs w:val="28"/>
        </w:rPr>
        <w:t xml:space="preserve">: </w:t>
      </w:r>
      <w:r w:rsidR="00E44980">
        <w:rPr>
          <w:sz w:val="28"/>
          <w:szCs w:val="28"/>
        </w:rPr>
        <w:t>explicar</w:t>
      </w:r>
      <w:r w:rsidR="001D469E">
        <w:rPr>
          <w:sz w:val="28"/>
          <w:szCs w:val="28"/>
        </w:rPr>
        <w:t xml:space="preserve"> el procedimiento empleado para realizar el cálculo de la provisión</w:t>
      </w:r>
      <w:r w:rsidR="00E44980">
        <w:rPr>
          <w:sz w:val="28"/>
          <w:szCs w:val="28"/>
        </w:rPr>
        <w:t xml:space="preserve"> e</w:t>
      </w:r>
      <w:r w:rsidR="00FE105E">
        <w:rPr>
          <w:sz w:val="28"/>
          <w:szCs w:val="28"/>
        </w:rPr>
        <w:t xml:space="preserve"> </w:t>
      </w:r>
      <w:r w:rsidR="00070EEA">
        <w:rPr>
          <w:sz w:val="28"/>
          <w:szCs w:val="28"/>
        </w:rPr>
        <w:t>indicar si la</w:t>
      </w:r>
      <w:r w:rsidR="009508FC">
        <w:rPr>
          <w:sz w:val="28"/>
          <w:szCs w:val="28"/>
        </w:rPr>
        <w:t xml:space="preserve"> </w:t>
      </w:r>
      <w:r w:rsidR="00FE105E">
        <w:rPr>
          <w:sz w:val="28"/>
          <w:szCs w:val="28"/>
        </w:rPr>
        <w:t xml:space="preserve">entidad aseguradora se ajusta </w:t>
      </w:r>
      <w:r w:rsidR="00CD740E">
        <w:rPr>
          <w:sz w:val="28"/>
          <w:szCs w:val="28"/>
        </w:rPr>
        <w:t xml:space="preserve">o no </w:t>
      </w:r>
      <w:r w:rsidR="00FE105E">
        <w:rPr>
          <w:sz w:val="28"/>
          <w:szCs w:val="28"/>
        </w:rPr>
        <w:t>a las metodologías establecidas en el Reglamento</w:t>
      </w:r>
      <w:r w:rsidR="00E44980">
        <w:rPr>
          <w:sz w:val="28"/>
          <w:szCs w:val="28"/>
        </w:rPr>
        <w:t xml:space="preserve"> mencionado</w:t>
      </w:r>
      <w:r w:rsidR="00FE105E">
        <w:rPr>
          <w:sz w:val="28"/>
          <w:szCs w:val="28"/>
        </w:rPr>
        <w:t>, para</w:t>
      </w:r>
      <w:r w:rsidR="00E44980">
        <w:rPr>
          <w:sz w:val="28"/>
          <w:szCs w:val="28"/>
        </w:rPr>
        <w:t xml:space="preserve"> efecto</w:t>
      </w:r>
      <w:r w:rsidR="00FE105E">
        <w:rPr>
          <w:sz w:val="28"/>
          <w:szCs w:val="28"/>
        </w:rPr>
        <w:t xml:space="preserve"> </w:t>
      </w:r>
      <w:r w:rsidR="00E44980">
        <w:rPr>
          <w:sz w:val="28"/>
          <w:szCs w:val="28"/>
        </w:rPr>
        <w:t>d</w:t>
      </w:r>
      <w:r w:rsidR="00FE105E">
        <w:rPr>
          <w:sz w:val="28"/>
          <w:szCs w:val="28"/>
        </w:rPr>
        <w:t>el cálculo de las provisiones técnicas.</w:t>
      </w:r>
    </w:p>
    <w:p w14:paraId="362388FF" w14:textId="17766459" w:rsidR="00270918" w:rsidRPr="009018D1" w:rsidRDefault="001A3757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Hipótesis técnicas, financieras y demográficas</w:t>
      </w:r>
      <w:r w:rsidR="00360BB5">
        <w:rPr>
          <w:sz w:val="28"/>
          <w:szCs w:val="28"/>
        </w:rPr>
        <w:t>:</w:t>
      </w:r>
      <w:r>
        <w:rPr>
          <w:sz w:val="28"/>
          <w:szCs w:val="28"/>
        </w:rPr>
        <w:t xml:space="preserve"> verificar la razonabilidad de las hipótesis y estadísticas utilizadas</w:t>
      </w:r>
      <w:r w:rsidR="00270918">
        <w:rPr>
          <w:sz w:val="28"/>
          <w:szCs w:val="28"/>
        </w:rPr>
        <w:t xml:space="preserve"> </w:t>
      </w:r>
      <w:r w:rsidR="00CB69BC">
        <w:rPr>
          <w:sz w:val="28"/>
          <w:szCs w:val="28"/>
        </w:rPr>
        <w:t>e informar sobre</w:t>
      </w:r>
      <w:r w:rsidR="00270918">
        <w:rPr>
          <w:sz w:val="28"/>
          <w:szCs w:val="28"/>
        </w:rPr>
        <w:t xml:space="preserve"> el cumplimiento</w:t>
      </w:r>
      <w:r w:rsidR="00CB69BC">
        <w:rPr>
          <w:sz w:val="28"/>
          <w:szCs w:val="28"/>
        </w:rPr>
        <w:t xml:space="preserve"> en el uso</w:t>
      </w:r>
      <w:r w:rsidR="00270918">
        <w:rPr>
          <w:sz w:val="28"/>
          <w:szCs w:val="28"/>
        </w:rPr>
        <w:t xml:space="preserve"> de las tablas de mortalidad</w:t>
      </w:r>
      <w:r w:rsidR="00533E43">
        <w:rPr>
          <w:sz w:val="28"/>
          <w:szCs w:val="28"/>
        </w:rPr>
        <w:t xml:space="preserve">, </w:t>
      </w:r>
      <w:r w:rsidR="00270918">
        <w:rPr>
          <w:sz w:val="28"/>
          <w:szCs w:val="28"/>
        </w:rPr>
        <w:t>tasa de inter</w:t>
      </w:r>
      <w:r w:rsidR="00943E1A">
        <w:rPr>
          <w:sz w:val="28"/>
          <w:szCs w:val="28"/>
        </w:rPr>
        <w:t>és técnico</w:t>
      </w:r>
      <w:r w:rsidR="00533E43">
        <w:rPr>
          <w:sz w:val="28"/>
          <w:szCs w:val="28"/>
        </w:rPr>
        <w:t xml:space="preserve"> e intervalos de confianza</w:t>
      </w:r>
      <w:r w:rsidR="00270918">
        <w:rPr>
          <w:sz w:val="28"/>
          <w:szCs w:val="28"/>
        </w:rPr>
        <w:t>.</w:t>
      </w:r>
    </w:p>
    <w:p w14:paraId="0C4B605A" w14:textId="357ADC4D" w:rsidR="00270918" w:rsidRPr="00622446" w:rsidRDefault="00AD64F0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Análisis retrospectivos: </w:t>
      </w:r>
      <w:r w:rsidR="008E146F">
        <w:rPr>
          <w:sz w:val="28"/>
          <w:szCs w:val="28"/>
        </w:rPr>
        <w:t xml:space="preserve">realizar una </w:t>
      </w:r>
      <w:r>
        <w:rPr>
          <w:sz w:val="28"/>
          <w:szCs w:val="28"/>
        </w:rPr>
        <w:t>descripción del p</w:t>
      </w:r>
      <w:r w:rsidR="00270918">
        <w:rPr>
          <w:sz w:val="28"/>
          <w:szCs w:val="28"/>
        </w:rPr>
        <w:t xml:space="preserve">rocedimiento utilizado para evaluar </w:t>
      </w:r>
      <w:r w:rsidR="00270918" w:rsidRPr="00270918">
        <w:rPr>
          <w:sz w:val="28"/>
          <w:szCs w:val="28"/>
        </w:rPr>
        <w:t xml:space="preserve">las estimaciones y </w:t>
      </w:r>
      <w:r w:rsidR="00270918">
        <w:rPr>
          <w:sz w:val="28"/>
          <w:szCs w:val="28"/>
        </w:rPr>
        <w:t>las hipótesis en las que se basó</w:t>
      </w:r>
      <w:r w:rsidR="00270918" w:rsidRPr="00270918">
        <w:rPr>
          <w:sz w:val="28"/>
          <w:szCs w:val="28"/>
        </w:rPr>
        <w:t xml:space="preserve"> el cálc</w:t>
      </w:r>
      <w:r w:rsidR="00270918">
        <w:rPr>
          <w:sz w:val="28"/>
          <w:szCs w:val="28"/>
        </w:rPr>
        <w:t>ulo de la provisión</w:t>
      </w:r>
      <w:r w:rsidR="00F4619A">
        <w:rPr>
          <w:sz w:val="28"/>
          <w:szCs w:val="28"/>
        </w:rPr>
        <w:t xml:space="preserve"> e indicar</w:t>
      </w:r>
      <w:r w:rsidR="00A656C8">
        <w:rPr>
          <w:sz w:val="28"/>
          <w:szCs w:val="28"/>
        </w:rPr>
        <w:t xml:space="preserve"> si</w:t>
      </w:r>
      <w:r w:rsidR="00270918">
        <w:rPr>
          <w:sz w:val="28"/>
          <w:szCs w:val="28"/>
        </w:rPr>
        <w:t xml:space="preserve"> se comparan</w:t>
      </w:r>
      <w:r w:rsidR="00270918" w:rsidRPr="00270918">
        <w:rPr>
          <w:sz w:val="28"/>
          <w:szCs w:val="28"/>
        </w:rPr>
        <w:t xml:space="preserve"> periódicamente con los datos observados</w:t>
      </w:r>
      <w:r w:rsidR="00B3010E">
        <w:rPr>
          <w:sz w:val="28"/>
          <w:szCs w:val="28"/>
        </w:rPr>
        <w:t xml:space="preserve"> (</w:t>
      </w:r>
      <w:r w:rsidR="00F4619A">
        <w:rPr>
          <w:sz w:val="28"/>
          <w:szCs w:val="28"/>
        </w:rPr>
        <w:t>“</w:t>
      </w:r>
      <w:proofErr w:type="spellStart"/>
      <w:r w:rsidR="00B3010E">
        <w:rPr>
          <w:sz w:val="28"/>
          <w:szCs w:val="28"/>
        </w:rPr>
        <w:t>backtesting</w:t>
      </w:r>
      <w:proofErr w:type="spellEnd"/>
      <w:r w:rsidR="00F4619A">
        <w:rPr>
          <w:sz w:val="28"/>
          <w:szCs w:val="28"/>
        </w:rPr>
        <w:t>”</w:t>
      </w:r>
      <w:r w:rsidR="00B3010E">
        <w:rPr>
          <w:sz w:val="28"/>
          <w:szCs w:val="28"/>
        </w:rPr>
        <w:t>)</w:t>
      </w:r>
      <w:r w:rsidR="00270918" w:rsidRPr="00270918">
        <w:rPr>
          <w:sz w:val="28"/>
          <w:szCs w:val="28"/>
        </w:rPr>
        <w:t xml:space="preserve">. En el evento de verificarse una desviación sistemática entre la experiencia </w:t>
      </w:r>
      <w:r w:rsidR="00F4619A">
        <w:rPr>
          <w:sz w:val="28"/>
          <w:szCs w:val="28"/>
        </w:rPr>
        <w:t xml:space="preserve">de la aseguradora </w:t>
      </w:r>
      <w:r w:rsidR="00270918" w:rsidRPr="00270918">
        <w:rPr>
          <w:sz w:val="28"/>
          <w:szCs w:val="28"/>
        </w:rPr>
        <w:t xml:space="preserve">y los cálculos de la provisión, </w:t>
      </w:r>
      <w:r w:rsidR="00270918">
        <w:rPr>
          <w:sz w:val="28"/>
          <w:szCs w:val="28"/>
        </w:rPr>
        <w:t xml:space="preserve">identificar </w:t>
      </w:r>
      <w:r>
        <w:rPr>
          <w:sz w:val="28"/>
          <w:szCs w:val="28"/>
        </w:rPr>
        <w:t>las causas de</w:t>
      </w:r>
      <w:r w:rsidR="00270918">
        <w:rPr>
          <w:sz w:val="28"/>
          <w:szCs w:val="28"/>
        </w:rPr>
        <w:t xml:space="preserve"> la desviación.</w:t>
      </w:r>
    </w:p>
    <w:p w14:paraId="42BC1BA3" w14:textId="5C51862B" w:rsidR="003E0DD3" w:rsidRPr="00622446" w:rsidRDefault="003E0DD3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En el caso de la </w:t>
      </w:r>
      <w:r w:rsidR="000C3B48">
        <w:rPr>
          <w:sz w:val="28"/>
          <w:szCs w:val="28"/>
        </w:rPr>
        <w:t>p</w:t>
      </w:r>
      <w:r>
        <w:rPr>
          <w:sz w:val="28"/>
          <w:szCs w:val="28"/>
        </w:rPr>
        <w:t>rovisión por insuficiencia de prima (PIP)</w:t>
      </w:r>
      <w:r w:rsidR="000C3B48">
        <w:rPr>
          <w:sz w:val="28"/>
          <w:szCs w:val="28"/>
        </w:rPr>
        <w:t>, la cual se cita</w:t>
      </w:r>
      <w:r>
        <w:rPr>
          <w:sz w:val="28"/>
          <w:szCs w:val="28"/>
        </w:rPr>
        <w:t xml:space="preserve"> en el </w:t>
      </w:r>
      <w:r w:rsidR="000C3B48">
        <w:rPr>
          <w:sz w:val="28"/>
          <w:szCs w:val="28"/>
        </w:rPr>
        <w:t>a</w:t>
      </w:r>
      <w:r>
        <w:rPr>
          <w:sz w:val="28"/>
          <w:szCs w:val="28"/>
        </w:rPr>
        <w:t xml:space="preserve">nexo PT-2 del </w:t>
      </w:r>
      <w:r w:rsidR="000C3B48">
        <w:rPr>
          <w:sz w:val="28"/>
          <w:szCs w:val="28"/>
        </w:rPr>
        <w:t>R</w:t>
      </w:r>
      <w:r>
        <w:rPr>
          <w:sz w:val="28"/>
          <w:szCs w:val="28"/>
        </w:rPr>
        <w:t>eglamento</w:t>
      </w:r>
      <w:r w:rsidR="000C3B48">
        <w:rPr>
          <w:sz w:val="28"/>
          <w:szCs w:val="28"/>
        </w:rPr>
        <w:t xml:space="preserve"> mencionado</w:t>
      </w:r>
      <w:r>
        <w:rPr>
          <w:sz w:val="28"/>
          <w:szCs w:val="28"/>
        </w:rPr>
        <w:t xml:space="preserve">, </w:t>
      </w:r>
      <w:r w:rsidR="000C3B48">
        <w:rPr>
          <w:sz w:val="28"/>
          <w:szCs w:val="28"/>
        </w:rPr>
        <w:t>y solo en caso de que aplique,</w:t>
      </w:r>
      <w:r>
        <w:rPr>
          <w:sz w:val="28"/>
          <w:szCs w:val="28"/>
        </w:rPr>
        <w:t xml:space="preserve"> </w:t>
      </w:r>
      <w:r w:rsidRPr="003E0DD3">
        <w:rPr>
          <w:sz w:val="28"/>
          <w:szCs w:val="28"/>
        </w:rPr>
        <w:t>identificar las causas que han provocado la insuficiencia</w:t>
      </w:r>
      <w:r w:rsidR="00974D63">
        <w:rPr>
          <w:sz w:val="28"/>
          <w:szCs w:val="28"/>
        </w:rPr>
        <w:t>,</w:t>
      </w:r>
      <w:r w:rsidR="00D416D3">
        <w:rPr>
          <w:sz w:val="28"/>
          <w:szCs w:val="28"/>
        </w:rPr>
        <w:t xml:space="preserve"> citar posibles medidas correctivas para que se alcance </w:t>
      </w:r>
      <w:r w:rsidR="00F4619A">
        <w:rPr>
          <w:sz w:val="28"/>
          <w:szCs w:val="28"/>
        </w:rPr>
        <w:t xml:space="preserve">la </w:t>
      </w:r>
      <w:r w:rsidR="00D416D3">
        <w:rPr>
          <w:sz w:val="28"/>
          <w:szCs w:val="28"/>
        </w:rPr>
        <w:t>suficiencia</w:t>
      </w:r>
      <w:r>
        <w:rPr>
          <w:sz w:val="28"/>
          <w:szCs w:val="28"/>
        </w:rPr>
        <w:t xml:space="preserve"> y verificar s</w:t>
      </w:r>
      <w:r w:rsidRPr="003E0DD3">
        <w:rPr>
          <w:sz w:val="28"/>
          <w:szCs w:val="28"/>
        </w:rPr>
        <w:t>i durante dos ejercicios anuales consecu</w:t>
      </w:r>
      <w:r>
        <w:rPr>
          <w:sz w:val="28"/>
          <w:szCs w:val="28"/>
        </w:rPr>
        <w:t>tivos ha sido necesario dotar dicha</w:t>
      </w:r>
      <w:r w:rsidRPr="003E0DD3">
        <w:rPr>
          <w:sz w:val="28"/>
          <w:szCs w:val="28"/>
        </w:rPr>
        <w:t xml:space="preserve"> provisión</w:t>
      </w:r>
      <w:r>
        <w:rPr>
          <w:sz w:val="28"/>
          <w:szCs w:val="28"/>
        </w:rPr>
        <w:t>.</w:t>
      </w:r>
      <w:r w:rsidR="00C509DA">
        <w:rPr>
          <w:sz w:val="28"/>
          <w:szCs w:val="28"/>
        </w:rPr>
        <w:t xml:space="preserve"> </w:t>
      </w:r>
    </w:p>
    <w:p w14:paraId="457D05DF" w14:textId="77777777" w:rsidR="00E76989" w:rsidRPr="000E01E9" w:rsidRDefault="00FA171F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lastRenderedPageBreak/>
        <w:t>Si para efecto</w:t>
      </w:r>
      <w:r w:rsidR="00974D63">
        <w:rPr>
          <w:sz w:val="28"/>
          <w:szCs w:val="28"/>
        </w:rPr>
        <w:t>s del cálculo de</w:t>
      </w:r>
      <w:r>
        <w:rPr>
          <w:sz w:val="28"/>
          <w:szCs w:val="28"/>
        </w:rPr>
        <w:t xml:space="preserve"> la provisión para siniestros ocurridos y no reportados (OYNR) se han identificado</w:t>
      </w:r>
      <w:r w:rsidR="003E0DD3">
        <w:rPr>
          <w:sz w:val="28"/>
          <w:szCs w:val="28"/>
        </w:rPr>
        <w:t xml:space="preserve"> siniestros excepcionales que hayan sido excluidos del cálculo, </w:t>
      </w:r>
      <w:r w:rsidR="003E0DD3" w:rsidRPr="003E0DD3">
        <w:rPr>
          <w:sz w:val="28"/>
          <w:szCs w:val="28"/>
        </w:rPr>
        <w:t xml:space="preserve">justificar actuarial y técnicamente los criterios de selección y </w:t>
      </w:r>
      <w:r>
        <w:rPr>
          <w:sz w:val="28"/>
          <w:szCs w:val="28"/>
        </w:rPr>
        <w:t>exclusión</w:t>
      </w:r>
      <w:r w:rsidR="003E0DD3" w:rsidRPr="003E0DD3">
        <w:rPr>
          <w:sz w:val="28"/>
          <w:szCs w:val="28"/>
        </w:rPr>
        <w:t xml:space="preserve"> utilizados</w:t>
      </w:r>
      <w:r w:rsidR="007F5BAD">
        <w:rPr>
          <w:sz w:val="28"/>
          <w:szCs w:val="28"/>
        </w:rPr>
        <w:t xml:space="preserve">, así como informar si las exclusiones tendrían algún impacto significativo en el cálculo de </w:t>
      </w:r>
      <w:r w:rsidR="00833774">
        <w:rPr>
          <w:sz w:val="28"/>
          <w:szCs w:val="28"/>
        </w:rPr>
        <w:t>esta provisión.</w:t>
      </w:r>
    </w:p>
    <w:p w14:paraId="214ADBFE" w14:textId="7D239CEE" w:rsidR="005D5D6E" w:rsidRPr="000E01E9" w:rsidRDefault="005E441A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En el caso de la provisión para siniestros ocurridos y no reportados (OYNR), verificar que se cumplan </w:t>
      </w:r>
      <w:r w:rsidR="007C342C">
        <w:rPr>
          <w:sz w:val="28"/>
          <w:szCs w:val="28"/>
        </w:rPr>
        <w:t xml:space="preserve">los supuestos mínimos de la metodología de </w:t>
      </w:r>
      <w:r w:rsidR="003E38FA">
        <w:rPr>
          <w:sz w:val="28"/>
          <w:szCs w:val="28"/>
        </w:rPr>
        <w:t>triángulos</w:t>
      </w:r>
      <w:r w:rsidR="00B74DF8">
        <w:rPr>
          <w:sz w:val="28"/>
          <w:szCs w:val="28"/>
        </w:rPr>
        <w:t>: el supuesto de la esperanza, de la varianza y el efecto calendario</w:t>
      </w:r>
      <w:r w:rsidR="00127F37">
        <w:rPr>
          <w:sz w:val="28"/>
          <w:szCs w:val="28"/>
        </w:rPr>
        <w:t xml:space="preserve"> </w:t>
      </w:r>
      <w:r w:rsidR="00D9548E">
        <w:rPr>
          <w:sz w:val="28"/>
          <w:szCs w:val="28"/>
        </w:rPr>
        <w:t xml:space="preserve">según </w:t>
      </w:r>
      <w:r w:rsidR="00B37304">
        <w:rPr>
          <w:sz w:val="28"/>
          <w:szCs w:val="28"/>
        </w:rPr>
        <w:t xml:space="preserve">el principio de </w:t>
      </w:r>
      <w:r w:rsidR="00D9548E">
        <w:rPr>
          <w:sz w:val="28"/>
          <w:szCs w:val="28"/>
        </w:rPr>
        <w:t>proporcionalidad.</w:t>
      </w:r>
    </w:p>
    <w:p w14:paraId="278184D4" w14:textId="60750AFE" w:rsidR="00842CC6" w:rsidRPr="00622446" w:rsidRDefault="00842CC6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E</w:t>
      </w:r>
      <w:r w:rsidRPr="003E0DD3">
        <w:rPr>
          <w:sz w:val="28"/>
          <w:szCs w:val="28"/>
        </w:rPr>
        <w:t>n caso de</w:t>
      </w:r>
      <w:r>
        <w:rPr>
          <w:sz w:val="28"/>
          <w:szCs w:val="28"/>
        </w:rPr>
        <w:t xml:space="preserve"> que la aseguradora utilice el</w:t>
      </w:r>
      <w:r w:rsidRPr="003E0DD3">
        <w:rPr>
          <w:sz w:val="28"/>
          <w:szCs w:val="28"/>
        </w:rPr>
        <w:t xml:space="preserve"> método de triángulos</w:t>
      </w:r>
      <w:r>
        <w:rPr>
          <w:sz w:val="28"/>
          <w:szCs w:val="28"/>
        </w:rPr>
        <w:t xml:space="preserve"> de siniestros ocurridos que se describe</w:t>
      </w:r>
      <w:r w:rsidRPr="003E0DD3">
        <w:rPr>
          <w:sz w:val="28"/>
          <w:szCs w:val="28"/>
        </w:rPr>
        <w:t xml:space="preserve"> en el </w:t>
      </w:r>
      <w:r>
        <w:rPr>
          <w:sz w:val="28"/>
          <w:szCs w:val="28"/>
        </w:rPr>
        <w:t>a</w:t>
      </w:r>
      <w:r w:rsidRPr="003E0DD3">
        <w:rPr>
          <w:sz w:val="28"/>
          <w:szCs w:val="28"/>
        </w:rPr>
        <w:t>nexo PT-4 del Reglamento</w:t>
      </w:r>
      <w:r>
        <w:rPr>
          <w:sz w:val="28"/>
          <w:szCs w:val="28"/>
        </w:rPr>
        <w:t xml:space="preserve"> mencionado</w:t>
      </w:r>
      <w:r w:rsidRPr="003E0DD3">
        <w:rPr>
          <w:sz w:val="28"/>
          <w:szCs w:val="28"/>
        </w:rPr>
        <w:t>,</w:t>
      </w:r>
      <w:r>
        <w:rPr>
          <w:sz w:val="28"/>
          <w:szCs w:val="28"/>
        </w:rPr>
        <w:t xml:space="preserve"> indicar si el triángulo está completo en el tanto el año más antiguo está totalmente pago y, en su defecto, verificar e indicar la forma en la que se estimaron los factores acumulados</w:t>
      </w:r>
      <w:r w:rsidRPr="003E0D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0DD3">
        <w:rPr>
          <w:sz w:val="28"/>
          <w:szCs w:val="28"/>
        </w:rPr>
        <w:t>FA</w:t>
      </w:r>
      <w:r w:rsidRPr="00622446">
        <w:rPr>
          <w:sz w:val="28"/>
          <w:szCs w:val="28"/>
          <w:vertAlign w:val="subscript"/>
        </w:rPr>
        <w:t>N</w:t>
      </w:r>
      <w:r w:rsidRPr="00AF2B3A">
        <w:rPr>
          <w:sz w:val="28"/>
          <w:szCs w:val="28"/>
        </w:rPr>
        <w:t>)</w:t>
      </w:r>
      <w:r w:rsidRPr="003E0DD3">
        <w:rPr>
          <w:sz w:val="28"/>
          <w:szCs w:val="28"/>
        </w:rPr>
        <w:t>.</w:t>
      </w:r>
    </w:p>
    <w:p w14:paraId="6D5BDB7B" w14:textId="75A7DDA3" w:rsidR="003E0DD3" w:rsidRPr="00BB07DE" w:rsidRDefault="00E333EF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  <w:rPr>
          <w:sz w:val="28"/>
          <w:szCs w:val="28"/>
        </w:rPr>
      </w:pPr>
      <w:r w:rsidRPr="00BB07DE">
        <w:rPr>
          <w:sz w:val="28"/>
          <w:szCs w:val="28"/>
        </w:rPr>
        <w:t>Para la provisión de siniestros reportados, indicar la metodología aplicada</w:t>
      </w:r>
      <w:r w:rsidR="003A7D06" w:rsidRPr="00BB07DE">
        <w:rPr>
          <w:sz w:val="28"/>
          <w:szCs w:val="28"/>
        </w:rPr>
        <w:t xml:space="preserve"> </w:t>
      </w:r>
      <w:r w:rsidR="00D35987" w:rsidRPr="00BB07DE">
        <w:rPr>
          <w:sz w:val="28"/>
          <w:szCs w:val="28"/>
        </w:rPr>
        <w:t xml:space="preserve">para la determinación de la reserva </w:t>
      </w:r>
      <w:r w:rsidR="00834306" w:rsidRPr="00BB07DE">
        <w:rPr>
          <w:sz w:val="28"/>
          <w:szCs w:val="28"/>
        </w:rPr>
        <w:t>de apertura</w:t>
      </w:r>
      <w:r w:rsidR="00B849F7" w:rsidRPr="00BB07DE">
        <w:rPr>
          <w:sz w:val="28"/>
          <w:szCs w:val="28"/>
        </w:rPr>
        <w:t xml:space="preserve"> del siniestro</w:t>
      </w:r>
      <w:r w:rsidR="00434AD4" w:rsidRPr="00BB07DE">
        <w:rPr>
          <w:sz w:val="28"/>
          <w:szCs w:val="28"/>
        </w:rPr>
        <w:t xml:space="preserve"> y la metodología </w:t>
      </w:r>
      <w:r w:rsidR="000F422F" w:rsidRPr="00BB07DE">
        <w:rPr>
          <w:sz w:val="28"/>
          <w:szCs w:val="28"/>
        </w:rPr>
        <w:t>de comprobación de la suficiencia</w:t>
      </w:r>
      <w:r w:rsidR="00B849F7" w:rsidRPr="00BB07DE">
        <w:rPr>
          <w:sz w:val="28"/>
          <w:szCs w:val="28"/>
        </w:rPr>
        <w:t xml:space="preserve"> (método de contraste) según lo establecido en</w:t>
      </w:r>
      <w:r w:rsidRPr="00BB07DE">
        <w:rPr>
          <w:sz w:val="28"/>
          <w:szCs w:val="28"/>
        </w:rPr>
        <w:t xml:space="preserve"> el reglamento de solvencia.</w:t>
      </w:r>
    </w:p>
    <w:p w14:paraId="77FFEE13" w14:textId="38269534" w:rsidR="00316103" w:rsidRPr="001A200C" w:rsidRDefault="00E76989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En el caso de la provisión matemática se debe explicar el método utilizado, aclarar a cuáles productos y coberturas se realizó el cálculo</w:t>
      </w:r>
      <w:r w:rsidR="00CC0767">
        <w:rPr>
          <w:sz w:val="28"/>
          <w:szCs w:val="28"/>
        </w:rPr>
        <w:t xml:space="preserve"> </w:t>
      </w:r>
      <w:r w:rsidR="004142A4">
        <w:rPr>
          <w:sz w:val="28"/>
          <w:szCs w:val="28"/>
        </w:rPr>
        <w:t>revelando los resultados de las provisiones según</w:t>
      </w:r>
      <w:r w:rsidR="00C63C4C">
        <w:rPr>
          <w:sz w:val="28"/>
          <w:szCs w:val="28"/>
        </w:rPr>
        <w:t xml:space="preserve"> cobertura</w:t>
      </w:r>
      <w:r>
        <w:rPr>
          <w:sz w:val="28"/>
          <w:szCs w:val="28"/>
        </w:rPr>
        <w:t xml:space="preserve">, verificar la razonabilidad del recargo para gasto administrativo utilizado y si éste fue suficiente para atender los gastos reales de administración, </w:t>
      </w:r>
      <w:r w:rsidR="00F224BB">
        <w:rPr>
          <w:sz w:val="28"/>
          <w:szCs w:val="28"/>
        </w:rPr>
        <w:t>además de</w:t>
      </w:r>
      <w:r>
        <w:rPr>
          <w:sz w:val="28"/>
          <w:szCs w:val="28"/>
        </w:rPr>
        <w:t xml:space="preserve"> verificar s</w:t>
      </w:r>
      <w:r w:rsidRPr="00E76989">
        <w:rPr>
          <w:sz w:val="28"/>
          <w:szCs w:val="28"/>
        </w:rPr>
        <w:t xml:space="preserve">i la rentabilidad obtenida en un periodo </w:t>
      </w:r>
      <w:r>
        <w:rPr>
          <w:sz w:val="28"/>
          <w:szCs w:val="28"/>
        </w:rPr>
        <w:t xml:space="preserve">razonable </w:t>
      </w:r>
      <w:r w:rsidRPr="00E76989">
        <w:rPr>
          <w:sz w:val="28"/>
          <w:szCs w:val="28"/>
        </w:rPr>
        <w:t>de las inversiones asociadas</w:t>
      </w:r>
      <w:r>
        <w:rPr>
          <w:sz w:val="28"/>
          <w:szCs w:val="28"/>
        </w:rPr>
        <w:t xml:space="preserve"> a la provisión matemática </w:t>
      </w:r>
      <w:r w:rsidR="00833774">
        <w:rPr>
          <w:sz w:val="28"/>
          <w:szCs w:val="28"/>
        </w:rPr>
        <w:t xml:space="preserve">es </w:t>
      </w:r>
      <w:r w:rsidR="00F4619A">
        <w:rPr>
          <w:sz w:val="28"/>
          <w:szCs w:val="28"/>
        </w:rPr>
        <w:t>coherente</w:t>
      </w:r>
      <w:r w:rsidR="000C11D8">
        <w:rPr>
          <w:sz w:val="28"/>
          <w:szCs w:val="28"/>
        </w:rPr>
        <w:t xml:space="preserve"> </w:t>
      </w:r>
      <w:r w:rsidR="00833774">
        <w:rPr>
          <w:sz w:val="28"/>
          <w:szCs w:val="28"/>
        </w:rPr>
        <w:t>con respecto a la estructura de tasas de interés con las que se calculó la provisión</w:t>
      </w:r>
      <w:r>
        <w:rPr>
          <w:sz w:val="28"/>
          <w:szCs w:val="28"/>
        </w:rPr>
        <w:t>.</w:t>
      </w:r>
    </w:p>
    <w:p w14:paraId="305D3A6D" w14:textId="77777777" w:rsidR="00291CE2" w:rsidRPr="001A200C" w:rsidRDefault="00291CE2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En el caso de la provisión para participación en los beneficios y ext</w:t>
      </w:r>
      <w:r w:rsidR="008F00E8">
        <w:rPr>
          <w:sz w:val="28"/>
          <w:szCs w:val="28"/>
        </w:rPr>
        <w:t>o</w:t>
      </w:r>
      <w:r>
        <w:rPr>
          <w:sz w:val="28"/>
          <w:szCs w:val="28"/>
        </w:rPr>
        <w:t xml:space="preserve">rnos, informar sobre el comportamiento o la evolución que reporta el riesgo suscrito, así como la valoración de la asignación individual, de acuerdo con lo que establece la nota técnica del producto que aplique y según el anexo PT-5 del Reglamento </w:t>
      </w:r>
      <w:r>
        <w:rPr>
          <w:sz w:val="28"/>
          <w:szCs w:val="28"/>
        </w:rPr>
        <w:lastRenderedPageBreak/>
        <w:t>mencionado.</w:t>
      </w:r>
      <w:r w:rsidR="00512757">
        <w:rPr>
          <w:sz w:val="28"/>
          <w:szCs w:val="28"/>
        </w:rPr>
        <w:t xml:space="preserve"> </w:t>
      </w:r>
      <w:r w:rsidR="00415225">
        <w:rPr>
          <w:sz w:val="28"/>
          <w:szCs w:val="28"/>
        </w:rPr>
        <w:t>Se espera que se revele</w:t>
      </w:r>
      <w:r w:rsidR="00512757">
        <w:rPr>
          <w:sz w:val="28"/>
          <w:szCs w:val="28"/>
        </w:rPr>
        <w:t xml:space="preserve"> la importancia que tienen los productos sujetos a esta provisión en términos de primas y siniestralidad.</w:t>
      </w:r>
    </w:p>
    <w:p w14:paraId="03973441" w14:textId="3B36B0AD" w:rsidR="00312B36" w:rsidRPr="000E01E9" w:rsidRDefault="00312B36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 xml:space="preserve">En el caso de la provisión catastrófica, </w:t>
      </w:r>
      <w:r w:rsidR="00415225">
        <w:rPr>
          <w:sz w:val="28"/>
          <w:szCs w:val="28"/>
        </w:rPr>
        <w:t>verificar que la aplicación del cálculo abar</w:t>
      </w:r>
      <w:r w:rsidR="00256133">
        <w:rPr>
          <w:sz w:val="28"/>
          <w:szCs w:val="28"/>
        </w:rPr>
        <w:t>que</w:t>
      </w:r>
      <w:r w:rsidR="00415225">
        <w:rPr>
          <w:sz w:val="28"/>
          <w:szCs w:val="28"/>
        </w:rPr>
        <w:t xml:space="preserve"> las coberturas establecidas en</w:t>
      </w:r>
      <w:r>
        <w:rPr>
          <w:sz w:val="28"/>
          <w:szCs w:val="28"/>
        </w:rPr>
        <w:t xml:space="preserve"> el anexo PT-7 del Reglamento mencionado.</w:t>
      </w:r>
    </w:p>
    <w:p w14:paraId="14ECD4C5" w14:textId="18999511" w:rsidR="00E365AC" w:rsidRPr="001D469E" w:rsidRDefault="00D46D58" w:rsidP="000E01E9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</w:pPr>
      <w:r>
        <w:rPr>
          <w:sz w:val="28"/>
          <w:szCs w:val="28"/>
        </w:rPr>
        <w:t>Para todas las provisiones</w:t>
      </w:r>
      <w:r w:rsidR="00D84DEE">
        <w:rPr>
          <w:sz w:val="28"/>
          <w:szCs w:val="28"/>
        </w:rPr>
        <w:t xml:space="preserve"> técnicas</w:t>
      </w:r>
      <w:r>
        <w:rPr>
          <w:sz w:val="28"/>
          <w:szCs w:val="28"/>
        </w:rPr>
        <w:t xml:space="preserve"> verificar el cumplimiento</w:t>
      </w:r>
      <w:r w:rsidR="00D84DEE">
        <w:rPr>
          <w:sz w:val="28"/>
          <w:szCs w:val="28"/>
        </w:rPr>
        <w:t xml:space="preserve"> y seguimiento</w:t>
      </w:r>
      <w:r>
        <w:rPr>
          <w:sz w:val="28"/>
          <w:szCs w:val="28"/>
        </w:rPr>
        <w:t xml:space="preserve"> de las recomendaciones </w:t>
      </w:r>
      <w:r w:rsidR="00D84DEE">
        <w:rPr>
          <w:sz w:val="28"/>
          <w:szCs w:val="28"/>
        </w:rPr>
        <w:t>emitidas en informes anteriores</w:t>
      </w:r>
      <w:r>
        <w:rPr>
          <w:sz w:val="28"/>
          <w:szCs w:val="28"/>
        </w:rPr>
        <w:t>.</w:t>
      </w:r>
    </w:p>
    <w:p w14:paraId="050DD10F" w14:textId="77777777" w:rsidR="00316103" w:rsidRDefault="001D469E" w:rsidP="000E01E9">
      <w:pPr>
        <w:pStyle w:val="Prrafodelista"/>
        <w:numPr>
          <w:ilvl w:val="0"/>
          <w:numId w:val="8"/>
        </w:numPr>
        <w:spacing w:before="120" w:after="120"/>
        <w:contextualSpacing w:val="0"/>
        <w:jc w:val="both"/>
        <w:rPr>
          <w:i/>
          <w:sz w:val="28"/>
          <w:szCs w:val="28"/>
          <w:u w:val="single"/>
        </w:rPr>
      </w:pPr>
      <w:r w:rsidRPr="001D469E">
        <w:rPr>
          <w:i/>
          <w:sz w:val="28"/>
          <w:szCs w:val="28"/>
          <w:u w:val="single"/>
        </w:rPr>
        <w:t>Conclusi</w:t>
      </w:r>
      <w:r w:rsidR="00091513">
        <w:rPr>
          <w:i/>
          <w:sz w:val="28"/>
          <w:szCs w:val="28"/>
          <w:u w:val="single"/>
        </w:rPr>
        <w:t>o</w:t>
      </w:r>
      <w:r w:rsidRPr="001D469E">
        <w:rPr>
          <w:i/>
          <w:sz w:val="28"/>
          <w:szCs w:val="28"/>
          <w:u w:val="single"/>
        </w:rPr>
        <w:t>n</w:t>
      </w:r>
      <w:r w:rsidR="00DD2AEC">
        <w:rPr>
          <w:i/>
          <w:sz w:val="28"/>
          <w:szCs w:val="28"/>
          <w:u w:val="single"/>
        </w:rPr>
        <w:t>es</w:t>
      </w:r>
    </w:p>
    <w:p w14:paraId="68D887F1" w14:textId="67162746" w:rsidR="00787BC2" w:rsidRPr="000E01E9" w:rsidRDefault="00216FC3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bookmarkStart w:id="0" w:name="_Hlk66462808"/>
      <w:r>
        <w:rPr>
          <w:sz w:val="28"/>
          <w:szCs w:val="28"/>
        </w:rPr>
        <w:t>Razonabilidad</w:t>
      </w:r>
      <w:r w:rsidR="00E365AC">
        <w:rPr>
          <w:sz w:val="28"/>
          <w:szCs w:val="28"/>
        </w:rPr>
        <w:t xml:space="preserve"> de</w:t>
      </w:r>
      <w:r w:rsidR="00635A24">
        <w:rPr>
          <w:sz w:val="28"/>
          <w:szCs w:val="28"/>
        </w:rPr>
        <w:t xml:space="preserve"> la calidad, adecuación, integridad y exactitud</w:t>
      </w:r>
      <w:r w:rsidR="00787BC2">
        <w:rPr>
          <w:sz w:val="28"/>
          <w:szCs w:val="28"/>
        </w:rPr>
        <w:t xml:space="preserve"> </w:t>
      </w:r>
      <w:r>
        <w:rPr>
          <w:sz w:val="28"/>
          <w:szCs w:val="28"/>
        </w:rPr>
        <w:t>de las bases de datos que respaldan las provisiones técnicas.</w:t>
      </w:r>
    </w:p>
    <w:bookmarkEnd w:id="0"/>
    <w:p w14:paraId="4190BA31" w14:textId="77777777" w:rsidR="001D469E" w:rsidRDefault="00C80DFD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E34F1">
        <w:rPr>
          <w:sz w:val="28"/>
          <w:szCs w:val="28"/>
        </w:rPr>
        <w:t>onclusión que indique</w:t>
      </w:r>
      <w:r w:rsidR="00CE34F1" w:rsidRPr="00CE34F1">
        <w:rPr>
          <w:sz w:val="28"/>
          <w:szCs w:val="28"/>
        </w:rPr>
        <w:t xml:space="preserve"> la </w:t>
      </w:r>
      <w:r w:rsidR="00757F30">
        <w:rPr>
          <w:sz w:val="28"/>
          <w:szCs w:val="28"/>
        </w:rPr>
        <w:t xml:space="preserve">suficiencia </w:t>
      </w:r>
      <w:r w:rsidR="00CE34F1">
        <w:rPr>
          <w:sz w:val="28"/>
          <w:szCs w:val="28"/>
        </w:rPr>
        <w:t>o no</w:t>
      </w:r>
      <w:r w:rsidR="00CE34F1" w:rsidRPr="00CE34F1">
        <w:rPr>
          <w:sz w:val="28"/>
          <w:szCs w:val="28"/>
        </w:rPr>
        <w:t xml:space="preserve"> de</w:t>
      </w:r>
      <w:r w:rsidR="0066156D">
        <w:rPr>
          <w:sz w:val="28"/>
          <w:szCs w:val="28"/>
        </w:rPr>
        <w:t xml:space="preserve"> cada</w:t>
      </w:r>
      <w:r w:rsidR="00CE34F1">
        <w:rPr>
          <w:sz w:val="28"/>
          <w:szCs w:val="28"/>
        </w:rPr>
        <w:t xml:space="preserve"> </w:t>
      </w:r>
      <w:r w:rsidR="00CE34F1" w:rsidRPr="00CE34F1">
        <w:rPr>
          <w:sz w:val="28"/>
          <w:szCs w:val="28"/>
        </w:rPr>
        <w:t>provisi</w:t>
      </w:r>
      <w:r w:rsidR="00CE34F1">
        <w:rPr>
          <w:sz w:val="28"/>
          <w:szCs w:val="28"/>
        </w:rPr>
        <w:t>ón</w:t>
      </w:r>
      <w:r w:rsidR="0066156D">
        <w:rPr>
          <w:sz w:val="28"/>
          <w:szCs w:val="28"/>
        </w:rPr>
        <w:t xml:space="preserve"> técnica</w:t>
      </w:r>
      <w:r w:rsidR="00CE34F1">
        <w:rPr>
          <w:sz w:val="28"/>
          <w:szCs w:val="28"/>
        </w:rPr>
        <w:t xml:space="preserve"> analizada</w:t>
      </w:r>
      <w:r w:rsidR="0066156D">
        <w:rPr>
          <w:sz w:val="28"/>
          <w:szCs w:val="28"/>
        </w:rPr>
        <w:t>.</w:t>
      </w:r>
    </w:p>
    <w:p w14:paraId="6843CA3B" w14:textId="77777777" w:rsidR="00CE34F1" w:rsidRDefault="00C80DFD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caso de que el monto de la provisión sea </w:t>
      </w:r>
      <w:r w:rsidR="00CC33ED">
        <w:rPr>
          <w:sz w:val="28"/>
          <w:szCs w:val="28"/>
        </w:rPr>
        <w:t>in</w:t>
      </w:r>
      <w:r w:rsidR="00F224BB">
        <w:rPr>
          <w:sz w:val="28"/>
          <w:szCs w:val="28"/>
        </w:rPr>
        <w:t>suficiente</w:t>
      </w:r>
      <w:r>
        <w:rPr>
          <w:sz w:val="28"/>
          <w:szCs w:val="28"/>
        </w:rPr>
        <w:t>, d</w:t>
      </w:r>
      <w:r w:rsidR="00CE34F1">
        <w:rPr>
          <w:sz w:val="28"/>
          <w:szCs w:val="28"/>
        </w:rPr>
        <w:t>etall</w:t>
      </w:r>
      <w:r w:rsidR="00CC33ED">
        <w:rPr>
          <w:sz w:val="28"/>
          <w:szCs w:val="28"/>
        </w:rPr>
        <w:t>ar</w:t>
      </w:r>
      <w:r w:rsidR="00CE34F1">
        <w:rPr>
          <w:sz w:val="28"/>
          <w:szCs w:val="28"/>
        </w:rPr>
        <w:t xml:space="preserve"> los motivos que pu</w:t>
      </w:r>
      <w:r w:rsidR="00CC33ED">
        <w:rPr>
          <w:sz w:val="28"/>
          <w:szCs w:val="28"/>
        </w:rPr>
        <w:t>dieran</w:t>
      </w:r>
      <w:r w:rsidR="00CE34F1">
        <w:rPr>
          <w:sz w:val="28"/>
          <w:szCs w:val="28"/>
        </w:rPr>
        <w:t xml:space="preserve"> estar influenciando la </w:t>
      </w:r>
      <w:r w:rsidR="00CC33ED">
        <w:rPr>
          <w:sz w:val="28"/>
          <w:szCs w:val="28"/>
        </w:rPr>
        <w:t>situación.</w:t>
      </w:r>
    </w:p>
    <w:p w14:paraId="0BB230DF" w14:textId="77777777" w:rsidR="00CE34F1" w:rsidRDefault="00CE34F1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Recomendaciones.</w:t>
      </w:r>
    </w:p>
    <w:p w14:paraId="4E09A304" w14:textId="77777777" w:rsidR="00F76FE6" w:rsidRDefault="00F76FE6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Limitaciones.</w:t>
      </w:r>
    </w:p>
    <w:p w14:paraId="62BFBFA5" w14:textId="77777777" w:rsidR="00C80DFD" w:rsidRDefault="00C80DFD" w:rsidP="000E01E9">
      <w:pPr>
        <w:pStyle w:val="Prrafodelista"/>
        <w:numPr>
          <w:ilvl w:val="0"/>
          <w:numId w:val="12"/>
        </w:numPr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Firma del responsable de la evaluación.</w:t>
      </w:r>
    </w:p>
    <w:p w14:paraId="2863839A" w14:textId="77777777" w:rsidR="007F3BD7" w:rsidRDefault="007F3BD7" w:rsidP="000E01E9">
      <w:pPr>
        <w:pStyle w:val="Prrafodelista"/>
        <w:numPr>
          <w:ilvl w:val="0"/>
          <w:numId w:val="8"/>
        </w:numPr>
        <w:spacing w:before="120" w:after="120"/>
        <w:contextualSpacing w:val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Documentación</w:t>
      </w:r>
    </w:p>
    <w:p w14:paraId="0CBC7102" w14:textId="4188163A" w:rsidR="007F3BD7" w:rsidRPr="007F3BD7" w:rsidRDefault="00E333EF" w:rsidP="000E01E9">
      <w:pPr>
        <w:spacing w:before="120" w:after="120"/>
        <w:ind w:left="360"/>
        <w:jc w:val="both"/>
        <w:rPr>
          <w:iCs/>
          <w:szCs w:val="28"/>
        </w:rPr>
      </w:pPr>
      <w:r>
        <w:rPr>
          <w:iCs/>
          <w:szCs w:val="28"/>
        </w:rPr>
        <w:t>La entidad aseguradora</w:t>
      </w:r>
      <w:r w:rsidR="007F3BD7">
        <w:rPr>
          <w:iCs/>
          <w:szCs w:val="28"/>
        </w:rPr>
        <w:t xml:space="preserve"> debe</w:t>
      </w:r>
      <w:r w:rsidR="00116BC7">
        <w:rPr>
          <w:iCs/>
          <w:szCs w:val="28"/>
        </w:rPr>
        <w:t xml:space="preserve"> asegurar que el actuario</w:t>
      </w:r>
      <w:r w:rsidR="007F3BD7">
        <w:rPr>
          <w:iCs/>
          <w:szCs w:val="28"/>
        </w:rPr>
        <w:t xml:space="preserve"> </w:t>
      </w:r>
      <w:r w:rsidR="00116BC7">
        <w:rPr>
          <w:iCs/>
          <w:szCs w:val="28"/>
        </w:rPr>
        <w:t xml:space="preserve">tenga </w:t>
      </w:r>
      <w:r w:rsidR="007F3BD7">
        <w:rPr>
          <w:iCs/>
          <w:szCs w:val="28"/>
        </w:rPr>
        <w:t xml:space="preserve">a disposición </w:t>
      </w:r>
      <w:r w:rsidR="00116BC7">
        <w:rPr>
          <w:iCs/>
          <w:szCs w:val="28"/>
        </w:rPr>
        <w:t xml:space="preserve">la información y los cálculos que respaldan el estudio para ser presentados ante </w:t>
      </w:r>
      <w:r w:rsidR="007F3BD7">
        <w:rPr>
          <w:iCs/>
          <w:szCs w:val="28"/>
        </w:rPr>
        <w:t xml:space="preserve">la </w:t>
      </w:r>
      <w:r>
        <w:rPr>
          <w:iCs/>
          <w:szCs w:val="28"/>
        </w:rPr>
        <w:t>S</w:t>
      </w:r>
      <w:r w:rsidR="007F3BD7">
        <w:rPr>
          <w:iCs/>
          <w:szCs w:val="28"/>
        </w:rPr>
        <w:t xml:space="preserve">uperintendencia </w:t>
      </w:r>
      <w:r w:rsidR="00116BC7">
        <w:rPr>
          <w:iCs/>
          <w:szCs w:val="28"/>
        </w:rPr>
        <w:t>en el momento que se requiera</w:t>
      </w:r>
      <w:r>
        <w:rPr>
          <w:iCs/>
          <w:szCs w:val="28"/>
        </w:rPr>
        <w:t>.</w:t>
      </w:r>
    </w:p>
    <w:p w14:paraId="344806D6" w14:textId="77777777" w:rsidR="006614CF" w:rsidRDefault="006614CF" w:rsidP="000E01E9">
      <w:pPr>
        <w:spacing w:before="120" w:after="120"/>
        <w:jc w:val="both"/>
        <w:rPr>
          <w:szCs w:val="28"/>
        </w:rPr>
      </w:pPr>
    </w:p>
    <w:sectPr w:rsidR="006614CF"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BBBE" w14:textId="77777777" w:rsidR="00D9559B" w:rsidRDefault="00D9559B" w:rsidP="00896E28">
      <w:pPr>
        <w:spacing w:line="240" w:lineRule="auto"/>
      </w:pPr>
      <w:r>
        <w:separator/>
      </w:r>
    </w:p>
  </w:endnote>
  <w:endnote w:type="continuationSeparator" w:id="0">
    <w:p w14:paraId="2CB06156" w14:textId="77777777" w:rsidR="00D9559B" w:rsidRDefault="00D9559B" w:rsidP="0089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17E5" w14:textId="77777777" w:rsidR="00E64D35" w:rsidRDefault="00E64D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8F9C" w14:textId="77777777" w:rsidR="00E64D35" w:rsidRDefault="00E64D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86C5" w14:textId="77777777" w:rsidR="00E64D35" w:rsidRDefault="00E64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ED37" w14:textId="77777777" w:rsidR="00D9559B" w:rsidRDefault="00D9559B" w:rsidP="00896E28">
      <w:pPr>
        <w:spacing w:line="240" w:lineRule="auto"/>
      </w:pPr>
      <w:r>
        <w:separator/>
      </w:r>
    </w:p>
  </w:footnote>
  <w:footnote w:type="continuationSeparator" w:id="0">
    <w:p w14:paraId="7D48A976" w14:textId="77777777" w:rsidR="00D9559B" w:rsidRDefault="00D9559B" w:rsidP="00896E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755"/>
    <w:multiLevelType w:val="hybridMultilevel"/>
    <w:tmpl w:val="BBBE1FB0"/>
    <w:lvl w:ilvl="0" w:tplc="16F05690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D8C"/>
    <w:multiLevelType w:val="hybridMultilevel"/>
    <w:tmpl w:val="EC366898"/>
    <w:lvl w:ilvl="0" w:tplc="17B608E0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F08"/>
    <w:multiLevelType w:val="hybridMultilevel"/>
    <w:tmpl w:val="0E7272A8"/>
    <w:lvl w:ilvl="0" w:tplc="EFECB34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3B29B9"/>
    <w:multiLevelType w:val="hybridMultilevel"/>
    <w:tmpl w:val="B26455F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66931"/>
    <w:multiLevelType w:val="hybridMultilevel"/>
    <w:tmpl w:val="485A378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642B"/>
    <w:multiLevelType w:val="hybridMultilevel"/>
    <w:tmpl w:val="1DC6A072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8172F"/>
    <w:multiLevelType w:val="hybridMultilevel"/>
    <w:tmpl w:val="C9D80956"/>
    <w:lvl w:ilvl="0" w:tplc="97AC2064">
      <w:start w:val="1"/>
      <w:numFmt w:val="lowerLetter"/>
      <w:lvlText w:val="%1."/>
      <w:lvlJc w:val="left"/>
      <w:pPr>
        <w:ind w:left="1440" w:hanging="360"/>
      </w:pPr>
      <w:rPr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C23E6"/>
    <w:multiLevelType w:val="hybridMultilevel"/>
    <w:tmpl w:val="5BAEB488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3FFB"/>
    <w:multiLevelType w:val="hybridMultilevel"/>
    <w:tmpl w:val="9C9C7E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41822"/>
    <w:multiLevelType w:val="hybridMultilevel"/>
    <w:tmpl w:val="ED4AE0DA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A3D00"/>
    <w:multiLevelType w:val="hybridMultilevel"/>
    <w:tmpl w:val="BCBE7A30"/>
    <w:lvl w:ilvl="0" w:tplc="4574EC12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37439"/>
    <w:multiLevelType w:val="hybridMultilevel"/>
    <w:tmpl w:val="1C2E744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32C0"/>
    <w:multiLevelType w:val="hybridMultilevel"/>
    <w:tmpl w:val="CA3CD3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666"/>
    <w:multiLevelType w:val="hybridMultilevel"/>
    <w:tmpl w:val="FC9EF762"/>
    <w:lvl w:ilvl="0" w:tplc="140A001B">
      <w:start w:val="1"/>
      <w:numFmt w:val="lowerRoman"/>
      <w:lvlText w:val="%1."/>
      <w:lvlJc w:val="right"/>
      <w:pPr>
        <w:ind w:left="1210" w:hanging="360"/>
      </w:pPr>
    </w:lvl>
    <w:lvl w:ilvl="1" w:tplc="140A0019" w:tentative="1">
      <w:start w:val="1"/>
      <w:numFmt w:val="lowerLetter"/>
      <w:lvlText w:val="%2."/>
      <w:lvlJc w:val="left"/>
      <w:pPr>
        <w:ind w:left="1930" w:hanging="360"/>
      </w:pPr>
    </w:lvl>
    <w:lvl w:ilvl="2" w:tplc="140A001B" w:tentative="1">
      <w:start w:val="1"/>
      <w:numFmt w:val="lowerRoman"/>
      <w:lvlText w:val="%3."/>
      <w:lvlJc w:val="right"/>
      <w:pPr>
        <w:ind w:left="2650" w:hanging="180"/>
      </w:pPr>
    </w:lvl>
    <w:lvl w:ilvl="3" w:tplc="140A000F" w:tentative="1">
      <w:start w:val="1"/>
      <w:numFmt w:val="decimal"/>
      <w:lvlText w:val="%4."/>
      <w:lvlJc w:val="left"/>
      <w:pPr>
        <w:ind w:left="3370" w:hanging="360"/>
      </w:pPr>
    </w:lvl>
    <w:lvl w:ilvl="4" w:tplc="140A0019" w:tentative="1">
      <w:start w:val="1"/>
      <w:numFmt w:val="lowerLetter"/>
      <w:lvlText w:val="%5."/>
      <w:lvlJc w:val="left"/>
      <w:pPr>
        <w:ind w:left="4090" w:hanging="360"/>
      </w:pPr>
    </w:lvl>
    <w:lvl w:ilvl="5" w:tplc="140A001B" w:tentative="1">
      <w:start w:val="1"/>
      <w:numFmt w:val="lowerRoman"/>
      <w:lvlText w:val="%6."/>
      <w:lvlJc w:val="right"/>
      <w:pPr>
        <w:ind w:left="4810" w:hanging="180"/>
      </w:pPr>
    </w:lvl>
    <w:lvl w:ilvl="6" w:tplc="140A000F" w:tentative="1">
      <w:start w:val="1"/>
      <w:numFmt w:val="decimal"/>
      <w:lvlText w:val="%7."/>
      <w:lvlJc w:val="left"/>
      <w:pPr>
        <w:ind w:left="5530" w:hanging="360"/>
      </w:pPr>
    </w:lvl>
    <w:lvl w:ilvl="7" w:tplc="140A0019" w:tentative="1">
      <w:start w:val="1"/>
      <w:numFmt w:val="lowerLetter"/>
      <w:lvlText w:val="%8."/>
      <w:lvlJc w:val="left"/>
      <w:pPr>
        <w:ind w:left="6250" w:hanging="360"/>
      </w:pPr>
    </w:lvl>
    <w:lvl w:ilvl="8" w:tplc="1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B172B51"/>
    <w:multiLevelType w:val="hybridMultilevel"/>
    <w:tmpl w:val="FF9239D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424C"/>
    <w:multiLevelType w:val="hybridMultilevel"/>
    <w:tmpl w:val="6C56AED6"/>
    <w:lvl w:ilvl="0" w:tplc="C0D0A47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6926748">
    <w:abstractNumId w:val="4"/>
  </w:num>
  <w:num w:numId="2" w16cid:durableId="97264592">
    <w:abstractNumId w:val="12"/>
  </w:num>
  <w:num w:numId="3" w16cid:durableId="606499012">
    <w:abstractNumId w:val="3"/>
  </w:num>
  <w:num w:numId="4" w16cid:durableId="265160743">
    <w:abstractNumId w:val="7"/>
  </w:num>
  <w:num w:numId="5" w16cid:durableId="1964263968">
    <w:abstractNumId w:val="1"/>
  </w:num>
  <w:num w:numId="6" w16cid:durableId="963804947">
    <w:abstractNumId w:val="6"/>
  </w:num>
  <w:num w:numId="7" w16cid:durableId="2088382148">
    <w:abstractNumId w:val="8"/>
  </w:num>
  <w:num w:numId="8" w16cid:durableId="1099375406">
    <w:abstractNumId w:val="0"/>
  </w:num>
  <w:num w:numId="9" w16cid:durableId="845479960">
    <w:abstractNumId w:val="9"/>
  </w:num>
  <w:num w:numId="10" w16cid:durableId="1062632608">
    <w:abstractNumId w:val="13"/>
  </w:num>
  <w:num w:numId="11" w16cid:durableId="940604967">
    <w:abstractNumId w:val="15"/>
  </w:num>
  <w:num w:numId="12" w16cid:durableId="415975003">
    <w:abstractNumId w:val="5"/>
  </w:num>
  <w:num w:numId="13" w16cid:durableId="344554350">
    <w:abstractNumId w:val="11"/>
  </w:num>
  <w:num w:numId="14" w16cid:durableId="1115713179">
    <w:abstractNumId w:val="14"/>
  </w:num>
  <w:num w:numId="15" w16cid:durableId="1597057679">
    <w:abstractNumId w:val="2"/>
  </w:num>
  <w:num w:numId="16" w16cid:durableId="284240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62"/>
    <w:rsid w:val="00000A00"/>
    <w:rsid w:val="000053BB"/>
    <w:rsid w:val="0002628F"/>
    <w:rsid w:val="000307B8"/>
    <w:rsid w:val="000314C7"/>
    <w:rsid w:val="00031C10"/>
    <w:rsid w:val="000439CC"/>
    <w:rsid w:val="000564AD"/>
    <w:rsid w:val="00070EEA"/>
    <w:rsid w:val="00073C9E"/>
    <w:rsid w:val="00086BE0"/>
    <w:rsid w:val="00091513"/>
    <w:rsid w:val="0009384B"/>
    <w:rsid w:val="000A17AF"/>
    <w:rsid w:val="000A7182"/>
    <w:rsid w:val="000C11D8"/>
    <w:rsid w:val="000C3B48"/>
    <w:rsid w:val="000D2323"/>
    <w:rsid w:val="000E01E9"/>
    <w:rsid w:val="000F0540"/>
    <w:rsid w:val="000F13CD"/>
    <w:rsid w:val="000F422F"/>
    <w:rsid w:val="00116BC7"/>
    <w:rsid w:val="0012541B"/>
    <w:rsid w:val="00127F37"/>
    <w:rsid w:val="0014095C"/>
    <w:rsid w:val="00143911"/>
    <w:rsid w:val="0014572C"/>
    <w:rsid w:val="00146F39"/>
    <w:rsid w:val="00160A58"/>
    <w:rsid w:val="00171487"/>
    <w:rsid w:val="001862DA"/>
    <w:rsid w:val="001A200C"/>
    <w:rsid w:val="001A2728"/>
    <w:rsid w:val="001A3757"/>
    <w:rsid w:val="001B4F55"/>
    <w:rsid w:val="001C7339"/>
    <w:rsid w:val="001D469E"/>
    <w:rsid w:val="001F18B7"/>
    <w:rsid w:val="00205134"/>
    <w:rsid w:val="002062AB"/>
    <w:rsid w:val="0020644E"/>
    <w:rsid w:val="00215E79"/>
    <w:rsid w:val="00216FC3"/>
    <w:rsid w:val="002250C1"/>
    <w:rsid w:val="00256133"/>
    <w:rsid w:val="00270918"/>
    <w:rsid w:val="00291CE2"/>
    <w:rsid w:val="00296182"/>
    <w:rsid w:val="002A5D4F"/>
    <w:rsid w:val="002B171A"/>
    <w:rsid w:val="002B4AE0"/>
    <w:rsid w:val="002B7032"/>
    <w:rsid w:val="002C28EE"/>
    <w:rsid w:val="002C3E50"/>
    <w:rsid w:val="002C4F70"/>
    <w:rsid w:val="002D423C"/>
    <w:rsid w:val="002E7FF1"/>
    <w:rsid w:val="00312B36"/>
    <w:rsid w:val="00316103"/>
    <w:rsid w:val="00323B29"/>
    <w:rsid w:val="00331FFD"/>
    <w:rsid w:val="0033267D"/>
    <w:rsid w:val="00346F9B"/>
    <w:rsid w:val="00360BB5"/>
    <w:rsid w:val="00363964"/>
    <w:rsid w:val="00383BC0"/>
    <w:rsid w:val="00390D68"/>
    <w:rsid w:val="00391C23"/>
    <w:rsid w:val="003A01D2"/>
    <w:rsid w:val="003A7D06"/>
    <w:rsid w:val="003B7B1D"/>
    <w:rsid w:val="003C076C"/>
    <w:rsid w:val="003C54B0"/>
    <w:rsid w:val="003D4AE0"/>
    <w:rsid w:val="003D5421"/>
    <w:rsid w:val="003D57FC"/>
    <w:rsid w:val="003E0DD3"/>
    <w:rsid w:val="003E38FA"/>
    <w:rsid w:val="003F736A"/>
    <w:rsid w:val="004142A4"/>
    <w:rsid w:val="00415225"/>
    <w:rsid w:val="00432622"/>
    <w:rsid w:val="00433991"/>
    <w:rsid w:val="00434AD4"/>
    <w:rsid w:val="00446BA0"/>
    <w:rsid w:val="004554CC"/>
    <w:rsid w:val="00460F59"/>
    <w:rsid w:val="0046664C"/>
    <w:rsid w:val="00470721"/>
    <w:rsid w:val="00486A2C"/>
    <w:rsid w:val="00491242"/>
    <w:rsid w:val="004B3D7B"/>
    <w:rsid w:val="004B6902"/>
    <w:rsid w:val="004B6AC8"/>
    <w:rsid w:val="004C7E1B"/>
    <w:rsid w:val="005063DA"/>
    <w:rsid w:val="00512757"/>
    <w:rsid w:val="00513D80"/>
    <w:rsid w:val="005247A7"/>
    <w:rsid w:val="00526AE5"/>
    <w:rsid w:val="00533E43"/>
    <w:rsid w:val="005502E0"/>
    <w:rsid w:val="00580E72"/>
    <w:rsid w:val="00583CC7"/>
    <w:rsid w:val="00583CC9"/>
    <w:rsid w:val="005A1AE0"/>
    <w:rsid w:val="005B0A7C"/>
    <w:rsid w:val="005B5710"/>
    <w:rsid w:val="005C221B"/>
    <w:rsid w:val="005D3476"/>
    <w:rsid w:val="005D5D6E"/>
    <w:rsid w:val="005E441A"/>
    <w:rsid w:val="005E6363"/>
    <w:rsid w:val="005F0F57"/>
    <w:rsid w:val="005F1C9E"/>
    <w:rsid w:val="006028E1"/>
    <w:rsid w:val="00622446"/>
    <w:rsid w:val="00635A24"/>
    <w:rsid w:val="006614CF"/>
    <w:rsid w:val="0066156D"/>
    <w:rsid w:val="00663298"/>
    <w:rsid w:val="00663576"/>
    <w:rsid w:val="006766E1"/>
    <w:rsid w:val="006A2B48"/>
    <w:rsid w:val="006B534B"/>
    <w:rsid w:val="006B7255"/>
    <w:rsid w:val="006C0D92"/>
    <w:rsid w:val="006C1F9B"/>
    <w:rsid w:val="006D15BA"/>
    <w:rsid w:val="006D22AB"/>
    <w:rsid w:val="006D5BF3"/>
    <w:rsid w:val="006F5274"/>
    <w:rsid w:val="006F5A4A"/>
    <w:rsid w:val="006F5D13"/>
    <w:rsid w:val="00705260"/>
    <w:rsid w:val="00710E94"/>
    <w:rsid w:val="00713967"/>
    <w:rsid w:val="007157FD"/>
    <w:rsid w:val="00720C28"/>
    <w:rsid w:val="00735720"/>
    <w:rsid w:val="0075174A"/>
    <w:rsid w:val="007553F0"/>
    <w:rsid w:val="00757F30"/>
    <w:rsid w:val="00761529"/>
    <w:rsid w:val="0078064A"/>
    <w:rsid w:val="007807DF"/>
    <w:rsid w:val="00785229"/>
    <w:rsid w:val="00787BC2"/>
    <w:rsid w:val="0079131B"/>
    <w:rsid w:val="00794FAA"/>
    <w:rsid w:val="007A100E"/>
    <w:rsid w:val="007A4ECA"/>
    <w:rsid w:val="007A5867"/>
    <w:rsid w:val="007B2710"/>
    <w:rsid w:val="007C342C"/>
    <w:rsid w:val="007C7E4D"/>
    <w:rsid w:val="007E528A"/>
    <w:rsid w:val="007F3BD7"/>
    <w:rsid w:val="007F5BAD"/>
    <w:rsid w:val="007F70B3"/>
    <w:rsid w:val="00814568"/>
    <w:rsid w:val="008161BD"/>
    <w:rsid w:val="00821211"/>
    <w:rsid w:val="00821BEF"/>
    <w:rsid w:val="00833774"/>
    <w:rsid w:val="00834306"/>
    <w:rsid w:val="00842CC6"/>
    <w:rsid w:val="008642E0"/>
    <w:rsid w:val="00871936"/>
    <w:rsid w:val="0088273E"/>
    <w:rsid w:val="00896E28"/>
    <w:rsid w:val="008D1E36"/>
    <w:rsid w:val="008D1EE2"/>
    <w:rsid w:val="008E146F"/>
    <w:rsid w:val="008E1879"/>
    <w:rsid w:val="008F00E8"/>
    <w:rsid w:val="008F4B64"/>
    <w:rsid w:val="009018D1"/>
    <w:rsid w:val="00906AF4"/>
    <w:rsid w:val="00926E91"/>
    <w:rsid w:val="00930B57"/>
    <w:rsid w:val="0093667E"/>
    <w:rsid w:val="00943E1A"/>
    <w:rsid w:val="009508FC"/>
    <w:rsid w:val="0096331C"/>
    <w:rsid w:val="00970C35"/>
    <w:rsid w:val="009722FD"/>
    <w:rsid w:val="00974D63"/>
    <w:rsid w:val="009A19A7"/>
    <w:rsid w:val="009A2A2C"/>
    <w:rsid w:val="009C096D"/>
    <w:rsid w:val="009E64ED"/>
    <w:rsid w:val="00A10E48"/>
    <w:rsid w:val="00A245BB"/>
    <w:rsid w:val="00A46718"/>
    <w:rsid w:val="00A64A86"/>
    <w:rsid w:val="00A656C8"/>
    <w:rsid w:val="00A87E73"/>
    <w:rsid w:val="00AC32B6"/>
    <w:rsid w:val="00AC5CDE"/>
    <w:rsid w:val="00AD1EDC"/>
    <w:rsid w:val="00AD62AF"/>
    <w:rsid w:val="00AD64F0"/>
    <w:rsid w:val="00AF1EA7"/>
    <w:rsid w:val="00AF2B3A"/>
    <w:rsid w:val="00B04AD5"/>
    <w:rsid w:val="00B1374B"/>
    <w:rsid w:val="00B3010E"/>
    <w:rsid w:val="00B31366"/>
    <w:rsid w:val="00B32D43"/>
    <w:rsid w:val="00B3560C"/>
    <w:rsid w:val="00B37304"/>
    <w:rsid w:val="00B64653"/>
    <w:rsid w:val="00B74DF8"/>
    <w:rsid w:val="00B77F0D"/>
    <w:rsid w:val="00B849F7"/>
    <w:rsid w:val="00B84B85"/>
    <w:rsid w:val="00B90711"/>
    <w:rsid w:val="00B91CBA"/>
    <w:rsid w:val="00B94307"/>
    <w:rsid w:val="00B94474"/>
    <w:rsid w:val="00BA5262"/>
    <w:rsid w:val="00BB07DE"/>
    <w:rsid w:val="00BB3430"/>
    <w:rsid w:val="00BB3AE6"/>
    <w:rsid w:val="00BD7024"/>
    <w:rsid w:val="00BE76E4"/>
    <w:rsid w:val="00BF5318"/>
    <w:rsid w:val="00BF7B09"/>
    <w:rsid w:val="00C0073A"/>
    <w:rsid w:val="00C01CA3"/>
    <w:rsid w:val="00C16971"/>
    <w:rsid w:val="00C4112C"/>
    <w:rsid w:val="00C47B4C"/>
    <w:rsid w:val="00C509DA"/>
    <w:rsid w:val="00C6095B"/>
    <w:rsid w:val="00C638D5"/>
    <w:rsid w:val="00C63C4C"/>
    <w:rsid w:val="00C80DFD"/>
    <w:rsid w:val="00C86876"/>
    <w:rsid w:val="00CB4C26"/>
    <w:rsid w:val="00CB69BC"/>
    <w:rsid w:val="00CC0767"/>
    <w:rsid w:val="00CC33ED"/>
    <w:rsid w:val="00CD740E"/>
    <w:rsid w:val="00CD7777"/>
    <w:rsid w:val="00CE34F1"/>
    <w:rsid w:val="00CE357F"/>
    <w:rsid w:val="00CE5BF5"/>
    <w:rsid w:val="00D15EA0"/>
    <w:rsid w:val="00D21603"/>
    <w:rsid w:val="00D31E41"/>
    <w:rsid w:val="00D35987"/>
    <w:rsid w:val="00D416D3"/>
    <w:rsid w:val="00D46D58"/>
    <w:rsid w:val="00D549EF"/>
    <w:rsid w:val="00D64E10"/>
    <w:rsid w:val="00D760B9"/>
    <w:rsid w:val="00D806BF"/>
    <w:rsid w:val="00D84DEE"/>
    <w:rsid w:val="00D909E9"/>
    <w:rsid w:val="00D9548E"/>
    <w:rsid w:val="00D9559B"/>
    <w:rsid w:val="00D95E79"/>
    <w:rsid w:val="00DB110D"/>
    <w:rsid w:val="00DC38C1"/>
    <w:rsid w:val="00DC4114"/>
    <w:rsid w:val="00DD2AEC"/>
    <w:rsid w:val="00DE2464"/>
    <w:rsid w:val="00DE4BF5"/>
    <w:rsid w:val="00E02D0E"/>
    <w:rsid w:val="00E04CA8"/>
    <w:rsid w:val="00E20AD9"/>
    <w:rsid w:val="00E31080"/>
    <w:rsid w:val="00E31773"/>
    <w:rsid w:val="00E333EF"/>
    <w:rsid w:val="00E365AC"/>
    <w:rsid w:val="00E40D14"/>
    <w:rsid w:val="00E44980"/>
    <w:rsid w:val="00E64D35"/>
    <w:rsid w:val="00E76989"/>
    <w:rsid w:val="00E8057D"/>
    <w:rsid w:val="00E87BA8"/>
    <w:rsid w:val="00E93624"/>
    <w:rsid w:val="00EA4620"/>
    <w:rsid w:val="00EC0B55"/>
    <w:rsid w:val="00EC6109"/>
    <w:rsid w:val="00ED288C"/>
    <w:rsid w:val="00EE0395"/>
    <w:rsid w:val="00F00373"/>
    <w:rsid w:val="00F037FF"/>
    <w:rsid w:val="00F0516B"/>
    <w:rsid w:val="00F1241D"/>
    <w:rsid w:val="00F224BB"/>
    <w:rsid w:val="00F33FBF"/>
    <w:rsid w:val="00F40411"/>
    <w:rsid w:val="00F4619A"/>
    <w:rsid w:val="00F52650"/>
    <w:rsid w:val="00F5321D"/>
    <w:rsid w:val="00F67A37"/>
    <w:rsid w:val="00F726EF"/>
    <w:rsid w:val="00F76FE6"/>
    <w:rsid w:val="00F84C9E"/>
    <w:rsid w:val="00F90AD1"/>
    <w:rsid w:val="00FA171F"/>
    <w:rsid w:val="00FA56D2"/>
    <w:rsid w:val="00FB397F"/>
    <w:rsid w:val="00FE105E"/>
    <w:rsid w:val="00FE1342"/>
    <w:rsid w:val="00FE5D19"/>
    <w:rsid w:val="00FF07CB"/>
    <w:rsid w:val="00FF2193"/>
    <w:rsid w:val="00FF729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A60"/>
  <w15:docId w15:val="{0B3247C3-BA33-4D45-AE08-C46AF326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4E"/>
    <w:pPr>
      <w:spacing w:after="0"/>
    </w:pPr>
    <w:rPr>
      <w:rFonts w:asciiTheme="majorHAnsi" w:hAnsiTheme="majorHAnsi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94FAA"/>
    <w:pPr>
      <w:keepNext/>
      <w:keepLines/>
      <w:numPr>
        <w:numId w:val="16"/>
      </w:numPr>
      <w:spacing w:before="240" w:after="360"/>
      <w:ind w:left="357" w:hanging="357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644E"/>
    <w:pPr>
      <w:keepNext/>
      <w:keepLines/>
      <w:spacing w:line="480" w:lineRule="auto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644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2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0411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F4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96E2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E28"/>
  </w:style>
  <w:style w:type="paragraph" w:styleId="Piedepgina">
    <w:name w:val="footer"/>
    <w:basedOn w:val="Normal"/>
    <w:link w:val="PiedepginaCar"/>
    <w:uiPriority w:val="99"/>
    <w:unhideWhenUsed/>
    <w:rsid w:val="00896E2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E28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0B55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0B5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0B5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94F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0644E"/>
    <w:rPr>
      <w:rFonts w:asciiTheme="majorHAnsi" w:eastAsiaTheme="majorEastAsia" w:hAnsiTheme="majorHAnsi" w:cstheme="majorBidi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064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722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22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22FD"/>
    <w:rPr>
      <w:rFonts w:asciiTheme="majorHAnsi" w:hAnsiTheme="maj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2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2FD"/>
    <w:rPr>
      <w:rFonts w:asciiTheme="majorHAnsi" w:hAnsiTheme="majorHAns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C5CDE"/>
    <w:pPr>
      <w:spacing w:after="0" w:line="240" w:lineRule="auto"/>
    </w:pPr>
    <w:rPr>
      <w:rFonts w:asciiTheme="majorHAnsi" w:hAnsiTheme="majorHAnsi"/>
      <w:sz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124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1242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124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B7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B468B41833847BD57FF753FE6D287" ma:contentTypeVersion="4" ma:contentTypeDescription="Crear nuevo documento." ma:contentTypeScope="" ma:versionID="c19167ff3536ad3d4e4465772230526c">
  <xsd:schema xmlns:xsd="http://www.w3.org/2001/XMLSchema" xmlns:xs="http://www.w3.org/2001/XMLSchema" xmlns:p="http://schemas.microsoft.com/office/2006/metadata/properties" xmlns:ns2="b9fc4df0-8f56-46e7-b005-54afe0044df7" targetNamespace="http://schemas.microsoft.com/office/2006/metadata/properties" ma:root="true" ma:fieldsID="e3bbb603d8b9438a19f463937397ad00" ns2:_=""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2:ContenidoMultilineaHTML"/>
                <xsd:element ref="ns2:FechaPublicacionDocumento" minOccurs="0"/>
                <xsd:element ref="ns2:TipoConteni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ContenidoMultilineaHTML" ma:index="8" ma:displayName="ContenidoMultilineaHTML" ma:internalName="ContenidoMultilineaHTML">
      <xsd:simpleType>
        <xsd:restriction base="dms:Unknown"/>
      </xsd:simpleType>
    </xsd:element>
    <xsd:element name="FechaPublicacionDocumento" ma:index="9" nillable="true" ma:displayName="FechaPublicacionDocumento" ma:description="" ma:format="DateOnly" ma:internalName="FechaPublicacionDocumento">
      <xsd:simpleType>
        <xsd:restriction base="dms:DateTime"/>
      </xsd:simpleType>
    </xsd:element>
    <xsd:element name="TipoContenido" ma:index="10" nillable="true" ma:displayName="TipoContenido" ma:list="{ec55f565-d8ce-4d28-9f5f-877c6e6feccc}" ma:internalName="TipoContenido" ma:showField="Title" ma:web="b9fc4df0-8f56-46e7-b005-54afe0044df7">
      <xsd:simpleType>
        <xsd:restriction base="dms:Lookup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Documento xmlns="b9fc4df0-8f56-46e7-b005-54afe0044df7">2024-11-18T06:00:00+00:00</FechaPublicacionDocumento>
    <TipoContenido xmlns="b9fc4df0-8f56-46e7-b005-54afe0044df7">6</TipoContenido>
    <ContenidoMultilineaHTML xmlns="b9fc4df0-8f56-46e7-b005-54afe0044df7">Presenta la Guía para elaborar el informe independiente de la suficiencia de las provisiones técnicas (V.3)</ContenidoMultilineaHTM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2A84-44E2-4A40-8DBB-B97D798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c4df0-8f56-46e7-b005-54afe0044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1A152-76AE-4955-9D0E-35497F0BB522}">
  <ds:schemaRefs>
    <ds:schemaRef ds:uri="http://schemas.microsoft.com/office/2006/metadata/properties"/>
    <ds:schemaRef ds:uri="http://schemas.microsoft.com/office/infopath/2007/PartnerControls"/>
    <ds:schemaRef ds:uri="b9fc4df0-8f56-46e7-b005-54afe0044df7"/>
  </ds:schemaRefs>
</ds:datastoreItem>
</file>

<file path=customXml/itemProps3.xml><?xml version="1.0" encoding="utf-8"?>
<ds:datastoreItem xmlns:ds="http://schemas.openxmlformats.org/officeDocument/2006/customXml" ds:itemID="{43C3F5C6-94B1-42E2-864D-AE6D9CC27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A2D8F-1057-432B-95B2-6F830A7C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elaborar el informe independiente de la suficiencia de las provisiones técnicas</vt:lpstr>
    </vt:vector>
  </TitlesOfParts>
  <Company>BCCR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elaborar el informe independiente de la suficiencia de las provisiones técnicas</dc:title>
  <dc:creator>AMADOR GARBANZO JORGE</dc:creator>
  <cp:lastModifiedBy>CARRANZA VARGAS ANDREA</cp:lastModifiedBy>
  <cp:revision>2</cp:revision>
  <dcterms:created xsi:type="dcterms:W3CDTF">2024-11-15T23:03:00Z</dcterms:created>
  <dcterms:modified xsi:type="dcterms:W3CDTF">2024-11-15T23:03:00Z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0x010100A6DB468B41833847BD57FF753FE6D287</vt:lpwstr>
  </property>
  <property fmtid="{D5CDD505-2E9C-101B-9397-08002B2CF9AE}" pid="3" name="MSIP_Label_b8b4be34-365a-4a68-b9fb-75c1b6874315_Enabled">
    <vt:lpwstr>true</vt:lpwstr>
  </property>
  <property fmtid="{D5CDD505-2E9C-101B-9397-08002B2CF9AE}" pid="4" name="MSIP_Label_b8b4be34-365a-4a68-b9fb-75c1b6874315_SetDate">
    <vt:lpwstr>2024-11-12T21:08:06Z</vt:lpwstr>
  </property>
  <property fmtid="{D5CDD505-2E9C-101B-9397-08002B2CF9AE}" pid="5" name="MSIP_Label_b8b4be34-365a-4a68-b9fb-75c1b6874315_Method">
    <vt:lpwstr>Standard</vt:lpwstr>
  </property>
  <property fmtid="{D5CDD505-2E9C-101B-9397-08002B2CF9AE}" pid="6" name="MSIP_Label_b8b4be34-365a-4a68-b9fb-75c1b6874315_Name">
    <vt:lpwstr>b8b4be34-365a-4a68-b9fb-75c1b6874315</vt:lpwstr>
  </property>
  <property fmtid="{D5CDD505-2E9C-101B-9397-08002B2CF9AE}" pid="7" name="MSIP_Label_b8b4be34-365a-4a68-b9fb-75c1b6874315_SiteId">
    <vt:lpwstr>618d0a45-25a6-4618-9f80-8f70a435ee52</vt:lpwstr>
  </property>
  <property fmtid="{D5CDD505-2E9C-101B-9397-08002B2CF9AE}" pid="8" name="MSIP_Label_b8b4be34-365a-4a68-b9fb-75c1b6874315_ActionId">
    <vt:lpwstr>e6774b92-8830-4720-9570-1606c317d05b</vt:lpwstr>
  </property>
  <property fmtid="{D5CDD505-2E9C-101B-9397-08002B2CF9AE}" pid="9" name="MSIP_Label_b8b4be34-365a-4a68-b9fb-75c1b6874315_ContentBits">
    <vt:lpwstr>2</vt:lpwstr>
  </property>
</Properties>
</file>